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720" w:lineRule="exact"/>
        <w:ind w:firstLine="0" w:firstLineChars="0"/>
        <w:rPr>
          <w:rFonts w:ascii="黑体" w:hAnsi="黑体" w:eastAsia="黑体" w:cs="方正黑体_GBK"/>
        </w:rPr>
      </w:pPr>
      <w:bookmarkStart w:id="0" w:name="_Toc515873337"/>
      <w:bookmarkStart w:id="1" w:name="_Toc515872680"/>
      <w:bookmarkStart w:id="2" w:name="_Toc179620542"/>
      <w:bookmarkStart w:id="3" w:name="_Toc515872644"/>
      <w:r>
        <w:rPr>
          <w:rFonts w:hint="eastAsia" w:ascii="黑体" w:hAnsi="黑体" w:eastAsia="黑体" w:cs="方正黑体_GBK"/>
        </w:rPr>
        <w:t>附件</w:t>
      </w:r>
    </w:p>
    <w:p>
      <w:pPr>
        <w:widowControl w:val="0"/>
        <w:spacing w:line="720" w:lineRule="exact"/>
        <w:ind w:firstLine="0" w:firstLineChars="0"/>
        <w:jc w:val="center"/>
        <w:rPr>
          <w:rFonts w:ascii="方正小标宋简体" w:hAnsi="方正大标宋简体" w:eastAsia="方正小标宋简体"/>
          <w:sz w:val="44"/>
          <w:szCs w:val="44"/>
        </w:rPr>
      </w:pPr>
      <w:r>
        <w:rPr>
          <w:rFonts w:hint="eastAsia" w:ascii="方正小标宋简体" w:hAnsi="方正大标宋简体" w:eastAsia="方正小标宋简体"/>
          <w:sz w:val="44"/>
          <w:szCs w:val="44"/>
        </w:rPr>
        <w:t>2024年度黄山市测绘地理信息“双随机”</w:t>
      </w:r>
    </w:p>
    <w:p>
      <w:pPr>
        <w:widowControl w:val="0"/>
        <w:spacing w:line="720" w:lineRule="exact"/>
        <w:ind w:firstLine="0" w:firstLineChars="0"/>
        <w:jc w:val="center"/>
      </w:pPr>
      <w:r>
        <w:rPr>
          <w:rFonts w:hint="eastAsia" w:ascii="方正小标宋简体" w:hAnsi="方正大标宋简体" w:eastAsia="方正小标宋简体"/>
          <w:sz w:val="44"/>
          <w:szCs w:val="44"/>
        </w:rPr>
        <w:t>监督检查工作方案</w:t>
      </w:r>
    </w:p>
    <w:p>
      <w:pPr>
        <w:widowControl w:val="0"/>
        <w:spacing w:line="600" w:lineRule="exact"/>
        <w:ind w:firstLine="640"/>
        <w:rPr>
          <w:rFonts w:ascii="仿宋_GB2312" w:eastAsia="仿宋_GB2312"/>
        </w:rPr>
      </w:pPr>
      <w:bookmarkStart w:id="4" w:name="_Toc8113065"/>
      <w:bookmarkStart w:id="5" w:name="_Toc68774346"/>
    </w:p>
    <w:p>
      <w:pPr>
        <w:widowControl w:val="0"/>
        <w:spacing w:line="600" w:lineRule="exact"/>
        <w:ind w:firstLine="640"/>
        <w:rPr>
          <w:rFonts w:ascii="仿宋_GB2312" w:eastAsia="仿宋_GB2312"/>
        </w:rPr>
      </w:pPr>
      <w:r>
        <w:rPr>
          <w:rFonts w:hint="eastAsia" w:ascii="仿宋_GB2312" w:eastAsia="仿宋_GB2312"/>
        </w:rPr>
        <w:t>为做好2024年度全市测绘地理信息“双随机”监督抽查工作，依据《中华人民共和国测绘法》等法律法规、自然资源部和省厅相关通知要求，结合我市工作实际，制定本方案。</w:t>
      </w:r>
    </w:p>
    <w:bookmarkEnd w:id="4"/>
    <w:bookmarkEnd w:id="5"/>
    <w:p>
      <w:pPr>
        <w:pStyle w:val="2"/>
        <w:widowControl w:val="0"/>
      </w:pPr>
      <w:bookmarkStart w:id="6" w:name="_Toc68774347"/>
      <w:r>
        <w:rPr>
          <w:rFonts w:hint="eastAsia"/>
        </w:rPr>
        <w:t>一、组织领导</w:t>
      </w:r>
    </w:p>
    <w:p>
      <w:pPr>
        <w:spacing w:line="600" w:lineRule="exact"/>
        <w:ind w:firstLine="640"/>
      </w:pPr>
      <w:r>
        <w:rPr>
          <w:rFonts w:hint="eastAsia" w:ascii="仿宋_GB2312" w:hAnsi="仿宋_GB2312" w:eastAsia="仿宋_GB2312" w:cs="仿宋_GB2312"/>
        </w:rPr>
        <w:t>黄山市自然资源和规划局成立2024年度黄山市测绘地理信息“双随机”监督检查领导小组（具体人员名单见附件1），负责组织实施全市测绘地理信息监督检查工作。</w:t>
      </w:r>
    </w:p>
    <w:p>
      <w:pPr>
        <w:pStyle w:val="2"/>
        <w:widowControl w:val="0"/>
      </w:pPr>
      <w:r>
        <w:rPr>
          <w:rFonts w:hint="eastAsia"/>
        </w:rPr>
        <w:t>二、</w:t>
      </w:r>
      <w:bookmarkEnd w:id="6"/>
      <w:r>
        <w:rPr>
          <w:rFonts w:hint="eastAsia"/>
        </w:rPr>
        <w:t>检查依据</w:t>
      </w:r>
    </w:p>
    <w:p>
      <w:pPr>
        <w:spacing w:line="560" w:lineRule="exact"/>
        <w:ind w:firstLine="640"/>
        <w:outlineLvl w:val="1"/>
        <w:rPr>
          <w:rFonts w:ascii="华文楷体" w:hAnsi="华文楷体" w:eastAsia="华文楷体" w:cs="华文楷体"/>
        </w:rPr>
      </w:pPr>
      <w:bookmarkStart w:id="7" w:name="_Toc69400187"/>
      <w:r>
        <w:rPr>
          <w:rFonts w:hint="eastAsia" w:ascii="华文楷体" w:hAnsi="华文楷体" w:eastAsia="华文楷体" w:cs="华文楷体"/>
        </w:rPr>
        <w:t>（一）法规制度</w:t>
      </w:r>
      <w:bookmarkEnd w:id="7"/>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1.《中华人民共和国测绘法》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2.《中华人民共和国测绘成果管理条例》</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3.《安徽省测绘地理信息条例》</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4.《测绘资质管理办法》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5.《测绘资质分类分级标准》</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6.《测绘地理信息质量管理办法》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7.《测绘成果质量监督抽查管理办法》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8.《自然资源部关于加强地质勘查和测绘行业安全生产管理的指导意见》（自然资发〔2021〕47号）</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9.</w:t>
      </w:r>
      <w:r>
        <w:rPr>
          <w:rFonts w:hint="eastAsia"/>
        </w:rPr>
        <w:t>自然资源部印发的相关安全保密通知</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10.《安徽省自然资源厅转发自然资源部办公厅关于做好2022年地质勘查和测绘行业安全生产工作的通知》（皖自然资矿权函〔2022〕19号）</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11.《安徽省国土资源厅关于开展测绘地理信息项目登记备案的通知》（皖国土资函〔2018〕421号）</w:t>
      </w:r>
    </w:p>
    <w:p>
      <w:pPr>
        <w:pStyle w:val="82"/>
        <w:spacing w:line="600" w:lineRule="exact"/>
        <w:ind w:firstLine="640"/>
        <w:rPr>
          <w:color w:val="auto"/>
        </w:rPr>
      </w:pPr>
      <w:r>
        <w:rPr>
          <w:rFonts w:hint="eastAsia"/>
          <w:color w:val="auto"/>
        </w:rPr>
        <w:t>12.《地质勘查和测绘行业安全生产重点检查事项指引（试行）》（自然资办发〔2023〕51号）</w:t>
      </w:r>
    </w:p>
    <w:p>
      <w:pPr>
        <w:pStyle w:val="82"/>
        <w:spacing w:line="600" w:lineRule="exact"/>
        <w:ind w:firstLine="640"/>
        <w:rPr>
          <w:color w:val="auto"/>
        </w:rPr>
      </w:pPr>
      <w:r>
        <w:rPr>
          <w:rFonts w:hint="eastAsia"/>
          <w:color w:val="auto"/>
        </w:rPr>
        <w:t>13. 《安徽省自然资源厅关于开展</w:t>
      </w:r>
      <w:r>
        <w:rPr>
          <w:color w:val="auto"/>
        </w:rPr>
        <w:t>2024</w:t>
      </w:r>
      <w:r>
        <w:rPr>
          <w:rFonts w:hint="eastAsia"/>
          <w:color w:val="auto"/>
        </w:rPr>
        <w:t>年度全省测绘地理信息</w:t>
      </w:r>
      <w:r>
        <w:rPr>
          <w:color w:val="auto"/>
        </w:rPr>
        <w:t>”</w:t>
      </w:r>
      <w:r>
        <w:rPr>
          <w:rFonts w:hint="eastAsia"/>
          <w:color w:val="auto"/>
        </w:rPr>
        <w:t>双随机</w:t>
      </w:r>
      <w:r>
        <w:rPr>
          <w:color w:val="auto"/>
        </w:rPr>
        <w:t>”</w:t>
      </w:r>
      <w:r>
        <w:rPr>
          <w:rFonts w:hint="eastAsia"/>
          <w:color w:val="auto"/>
        </w:rPr>
        <w:t>监督抽查工作的通知》（皖自然资测函〔</w:t>
      </w:r>
      <w:r>
        <w:rPr>
          <w:rFonts w:ascii="Times New Roman" w:hAnsi="Times New Roman"/>
          <w:color w:val="auto"/>
        </w:rPr>
        <w:t>2024</w:t>
      </w:r>
      <w:r>
        <w:rPr>
          <w:rFonts w:hint="eastAsia"/>
          <w:color w:val="auto"/>
        </w:rPr>
        <w:t>〕</w:t>
      </w:r>
      <w:r>
        <w:rPr>
          <w:rFonts w:ascii="Times New Roman" w:hAnsi="Times New Roman"/>
          <w:color w:val="auto"/>
        </w:rPr>
        <w:t>18</w:t>
      </w:r>
      <w:r>
        <w:rPr>
          <w:rFonts w:hint="eastAsia"/>
          <w:color w:val="auto"/>
        </w:rPr>
        <w:t>号）</w:t>
      </w:r>
    </w:p>
    <w:p>
      <w:pPr>
        <w:widowControl w:val="0"/>
        <w:spacing w:line="560" w:lineRule="exact"/>
        <w:ind w:firstLine="640"/>
        <w:outlineLvl w:val="1"/>
        <w:rPr>
          <w:rFonts w:ascii="华文楷体" w:hAnsi="华文楷体" w:eastAsia="华文楷体" w:cs="华文楷体"/>
        </w:rPr>
      </w:pPr>
      <w:bookmarkStart w:id="8" w:name="_Toc69400188"/>
      <w:r>
        <w:rPr>
          <w:rFonts w:hint="eastAsia" w:ascii="华文楷体" w:hAnsi="华文楷体" w:eastAsia="华文楷体" w:cs="华文楷体"/>
        </w:rPr>
        <w:t>（二）技术标准</w:t>
      </w:r>
      <w:bookmarkEnd w:id="8"/>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14.《数字测绘成果质量检查与验收》（GB/T 18316-2008）</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15.《测绘成果质量检查与验收》（GB/T 24356-2023）</w:t>
      </w:r>
    </w:p>
    <w:p>
      <w:pPr>
        <w:widowControl w:val="0"/>
        <w:spacing w:line="560" w:lineRule="exact"/>
        <w:ind w:firstLine="640"/>
        <w:rPr>
          <w:rFonts w:ascii="仿宋_GB2312" w:hAnsi="仿宋_GB2312" w:eastAsia="仿宋_GB2312" w:cs="仿宋_GB2312"/>
          <w:spacing w:val="-20"/>
        </w:rPr>
      </w:pPr>
      <w:r>
        <w:rPr>
          <w:rFonts w:hint="eastAsia" w:ascii="仿宋_GB2312" w:hAnsi="仿宋_GB2312" w:eastAsia="仿宋_GB2312" w:cs="仿宋_GB2312"/>
        </w:rPr>
        <w:t>16.《测绘成果质量监督抽查与数据认定规定》</w:t>
      </w:r>
      <w:r>
        <w:rPr>
          <w:rFonts w:hint="eastAsia" w:ascii="仿宋_GB2312" w:hAnsi="仿宋_GB2312" w:eastAsia="仿宋_GB2312" w:cs="仿宋_GB2312"/>
          <w:spacing w:val="-20"/>
        </w:rPr>
        <w:t>（CH/T 1018-2009）</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17.受检项目所依据的有关法律法规、国家标准、行业标准、方案、设计书、测绘任务书、合同书等。</w:t>
      </w:r>
    </w:p>
    <w:p>
      <w:pPr>
        <w:pStyle w:val="2"/>
        <w:widowControl w:val="0"/>
      </w:pPr>
      <w:r>
        <w:rPr>
          <w:rFonts w:hint="eastAsia"/>
        </w:rPr>
        <w:t>三、检查对象</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2024年度黄山市测绘地理信息“双随机”监督检查对象为2023年12月31日前取得测绘乙级资质证书的资质单位。截止2023年12月，全市共有18家乙级测绘资质单位，黄山市自然资源信息中心（黄山市卫星技术应用中心）为公益一类事业单位不承担市场业务，检查除去测绘成果质量事项外的其他事项。</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为加强全市测绘地理信息质量监管，对辖区内全部乙级测绘资质单位进行检查，同时随机抽取不低于25%比例报送省厅领导小组办公室确认。</w:t>
      </w:r>
    </w:p>
    <w:p>
      <w:pPr>
        <w:pStyle w:val="2"/>
        <w:widowControl w:val="0"/>
      </w:pPr>
      <w:bookmarkStart w:id="9" w:name="_Toc68774348"/>
      <w:r>
        <w:rPr>
          <w:rFonts w:hint="eastAsia"/>
        </w:rPr>
        <w:t>四、检查事项和内容</w:t>
      </w:r>
      <w:bookmarkEnd w:id="9"/>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（一）测绘资质检查</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1.符合测绘资质条件情况</w:t>
      </w:r>
      <w:r>
        <w:rPr>
          <w:rFonts w:hint="eastAsia" w:ascii="仿宋_GB2312" w:hAnsi="仿宋_GB2312" w:eastAsia="仿宋_GB2312" w:cs="仿宋_GB2312"/>
        </w:rPr>
        <w:t>：测绘资质单位的技术和质量保证体系、专业技术人员、技术装备等情况。</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2.遵守测绘地理信息法律法规情况</w:t>
      </w:r>
      <w:r>
        <w:rPr>
          <w:rFonts w:hint="eastAsia" w:ascii="仿宋_GB2312" w:hAnsi="仿宋_GB2312" w:eastAsia="仿宋_GB2312" w:cs="仿宋_GB2312"/>
        </w:rPr>
        <w:t>：测绘资质单位承担的测绘地理信息项目是否符合测绘资质要求；是否存在违法转包、分包行为；是否按要求进行测绘地理信息项目备案；是否存在其他违反测绘地理信息法律法规的情况。</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3.测绘地理信息统计上报情况</w:t>
      </w:r>
      <w:r>
        <w:rPr>
          <w:rFonts w:hint="eastAsia" w:ascii="仿宋_GB2312" w:hAnsi="仿宋_GB2312" w:eastAsia="仿宋_GB2312" w:cs="仿宋_GB2312"/>
        </w:rPr>
        <w:t>：测绘地理信息年度、半年度统计上报是否及时、准确；测绘地理信息信用信息上报是否及时、准确，有无瞒报、漏报情况。</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（二）测绘成果质量检查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测绘项目技术文件的完整性和符合性；测绘项目中使用的仪器、设备等的检定情况及其精度指标与项目设计文件的符合性；引用起始成果、资料的合法性、正确性和可靠性；测绘成果资料的完整性和规范性；</w:t>
      </w:r>
      <w:r>
        <w:rPr>
          <w:rFonts w:ascii="仿宋_GB2312" w:hAnsi="仿宋_GB2312" w:eastAsia="仿宋_GB2312" w:cs="仿宋_GB2312"/>
        </w:rPr>
        <w:t>测绘成果各项质量指标的符合性。</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（三）测绘地理信息安全保密检查</w:t>
      </w:r>
    </w:p>
    <w:p>
      <w:pPr>
        <w:widowControl w:val="0"/>
        <w:spacing w:line="600" w:lineRule="exact"/>
        <w:ind w:firstLine="640"/>
        <w:rPr>
          <w:rFonts w:ascii="华文隶书" w:hAnsi="华文隶书" w:eastAsia="华文隶书" w:cs="华文隶书"/>
        </w:rPr>
      </w:pPr>
      <w:r>
        <w:rPr>
          <w:rFonts w:hint="eastAsia" w:ascii="仿宋_GB2312" w:hAnsi="华文隶书" w:eastAsia="仿宋_GB2312" w:cs="华文隶书"/>
        </w:rPr>
        <w:t>测绘地理信息安全保障措施和管理制度、测绘成果和资料档案管理制度执行情况；涉密场所软硬件建设及管理情况；存储设备使用管理情况；涉密人员教育培训情况；</w:t>
      </w:r>
      <w:r>
        <w:rPr>
          <w:rFonts w:hint="eastAsia" w:ascii="仿宋_GB2312" w:hAnsi="仿宋_GB2312" w:eastAsia="仿宋_GB2312" w:cs="仿宋_GB2312"/>
        </w:rPr>
        <w:t>测绘地理信息软硬件使用情况及安全防控</w:t>
      </w:r>
      <w:r>
        <w:rPr>
          <w:rFonts w:hint="eastAsia" w:ascii="仿宋_GB2312" w:hAnsi="华文隶书" w:eastAsia="仿宋_GB2312" w:cs="华文隶书"/>
        </w:rPr>
        <w:t>。</w:t>
      </w:r>
    </w:p>
    <w:p>
      <w:pPr>
        <w:widowControl w:val="0"/>
        <w:spacing w:line="560" w:lineRule="exact"/>
        <w:ind w:firstLine="640"/>
        <w:outlineLvl w:val="1"/>
        <w:rPr>
          <w:rFonts w:ascii="华文楷体" w:hAnsi="华文楷体" w:eastAsia="华文楷体" w:cs="华文楷体"/>
        </w:rPr>
      </w:pPr>
      <w:bookmarkStart w:id="10" w:name="_Toc68774349"/>
      <w:r>
        <w:rPr>
          <w:rFonts w:hint="eastAsia" w:ascii="华文楷体" w:hAnsi="华文楷体" w:eastAsia="华文楷体" w:cs="华文楷体"/>
        </w:rPr>
        <w:t>（四）测绘安全生产检查</w:t>
      </w:r>
    </w:p>
    <w:p>
      <w:pPr>
        <w:pStyle w:val="3"/>
        <w:rPr>
          <w:rFonts w:ascii="仿宋_GB2312" w:hAnsi="仿宋_GB2312" w:eastAsia="仿宋_GB2312" w:cs="仿宋_GB2312"/>
        </w:rPr>
      </w:pPr>
      <w:r>
        <w:rPr>
          <w:rFonts w:hint="eastAsia" w:ascii="仿宋_GB2312" w:hAnsi="仿宋_GB2312" w:eastAsia="仿宋_GB2312" w:cs="仿宋_GB2312"/>
        </w:rPr>
        <w:t>测绘资质单位树立安全生产理念，落实安全生产主体责任，建立健全安全生产管理制度，抓好安全生产教育培训，加强关键环节安全风险管理，建立完善安全生产事故报告及处置办法，完善应急救援预案等相关工作。在同时检查组专家开展安全生产帮扶工作，指导受检单位落实部、省、市安全生产检查问题整改。</w:t>
      </w:r>
    </w:p>
    <w:p>
      <w:pPr>
        <w:pStyle w:val="2"/>
        <w:widowControl w:val="0"/>
        <w:rPr>
          <w:rFonts w:ascii="楷体" w:hAnsi="楷体" w:eastAsia="楷体" w:cs="方正楷体_GBK"/>
        </w:rPr>
      </w:pPr>
      <w:r>
        <w:rPr>
          <w:rFonts w:hint="eastAsia"/>
        </w:rPr>
        <w:t>五、受检项目要求</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（一）受检项目类型为航空摄影测量、三维模型制作、数字正射影像图制作、数字高程模型制作、数字表面模型、基础地理实体制作、基础地理信息数据更新、地理信息系统开发、工程测量、地形测量等。</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（二）受检项目应为2021年1月至2023年12月期间完成的，应通过项目发包方验收，但不包括已通过省级及以上测绘产品质量监督检验机构验收的项目。其中，三维模型项目应为2022年1月1日以来完成的。</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（三）受检项目规模应与单位资质等级相适应，须满足下列条件之一:</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1.受检项目的合同金额应大于（含）5万元。</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2.受检项目的面积应大于（含）2平方千米。</w:t>
      </w:r>
    </w:p>
    <w:p>
      <w:pPr>
        <w:widowControl w:val="0"/>
        <w:spacing w:line="600" w:lineRule="exact"/>
        <w:ind w:firstLine="640"/>
      </w:pPr>
      <w:r>
        <w:rPr>
          <w:rFonts w:hint="eastAsia" w:ascii="仿宋_GB2312" w:hAnsi="仿宋_GB2312" w:eastAsia="仿宋_GB2312" w:cs="仿宋_GB2312"/>
        </w:rPr>
        <w:t>3.受检项目原则上应从备案库中选取，</w:t>
      </w:r>
      <w:r>
        <w:rPr>
          <w:rFonts w:hint="eastAsia" w:ascii="仿宋_GB2312" w:hAnsi="宋体" w:eastAsia="仿宋_GB2312" w:cs="宋体"/>
          <w:kern w:val="0"/>
        </w:rPr>
        <w:t>优先选择大比例尺基础测绘项目</w:t>
      </w:r>
      <w:r>
        <w:rPr>
          <w:rFonts w:hint="eastAsia" w:ascii="仿宋_GB2312" w:hAnsi="仿宋_GB2312" w:eastAsia="仿宋_GB2312" w:cs="仿宋_GB2312"/>
        </w:rPr>
        <w:t>。项目类型和规模无法满足以上要求时，可抽查其他类型项目。</w:t>
      </w:r>
      <w:bookmarkEnd w:id="0"/>
      <w:bookmarkEnd w:id="1"/>
      <w:bookmarkEnd w:id="2"/>
      <w:bookmarkEnd w:id="3"/>
      <w:bookmarkEnd w:id="10"/>
    </w:p>
    <w:p>
      <w:pPr>
        <w:pStyle w:val="2"/>
        <w:widowControl w:val="0"/>
      </w:pPr>
      <w:bookmarkStart w:id="11" w:name="_Toc68774350"/>
      <w:bookmarkStart w:id="12" w:name="_Toc515872645"/>
      <w:bookmarkStart w:id="13" w:name="_Toc515873338"/>
      <w:bookmarkStart w:id="14" w:name="_Toc515872681"/>
      <w:bookmarkStart w:id="15" w:name="_Toc179620543"/>
      <w:r>
        <w:rPr>
          <w:rFonts w:hint="eastAsia"/>
        </w:rPr>
        <w:t>六、监督检查工作程序</w:t>
      </w:r>
      <w:bookmarkEnd w:id="11"/>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监督抽查工作程序主要包括准备工作、检查实施、质量评定与审核、结果确认上报和依法公布等内容。</w:t>
      </w:r>
    </w:p>
    <w:p>
      <w:pPr>
        <w:widowControl w:val="0"/>
        <w:spacing w:line="560" w:lineRule="exact"/>
        <w:ind w:firstLine="640"/>
        <w:outlineLvl w:val="1"/>
        <w:rPr>
          <w:rFonts w:ascii="华文楷体" w:hAnsi="华文楷体" w:eastAsia="华文楷体" w:cs="华文楷体"/>
        </w:rPr>
      </w:pPr>
      <w:bookmarkStart w:id="16" w:name="_Toc68774351"/>
      <w:r>
        <w:rPr>
          <w:rFonts w:hint="eastAsia" w:ascii="华文楷体" w:hAnsi="华文楷体" w:eastAsia="华文楷体" w:cs="华文楷体"/>
        </w:rPr>
        <w:t>（一）准备</w:t>
      </w:r>
      <w:bookmarkEnd w:id="16"/>
      <w:r>
        <w:rPr>
          <w:rFonts w:hint="eastAsia" w:ascii="华文楷体" w:hAnsi="华文楷体" w:eastAsia="华文楷体" w:cs="华文楷体"/>
        </w:rPr>
        <w:t>工作</w:t>
      </w:r>
    </w:p>
    <w:p>
      <w:pPr>
        <w:widowControl w:val="0"/>
        <w:spacing w:line="600" w:lineRule="exact"/>
        <w:ind w:firstLine="643"/>
        <w:rPr>
          <w:rFonts w:ascii="仿宋_GB2312" w:hAnsi="仿宋_GB2312" w:eastAsia="仿宋_GB2312" w:cs="仿宋_GB2312"/>
          <w:b/>
        </w:rPr>
      </w:pPr>
      <w:r>
        <w:rPr>
          <w:rFonts w:hint="eastAsia" w:ascii="仿宋_GB2312" w:hAnsi="仿宋_GB2312" w:eastAsia="仿宋_GB2312" w:cs="仿宋_GB2312"/>
          <w:b/>
        </w:rPr>
        <w:t>1.维护更新系统</w:t>
      </w:r>
    </w:p>
    <w:p>
      <w:pPr>
        <w:widowControl w:val="0"/>
        <w:spacing w:line="600" w:lineRule="exact"/>
        <w:ind w:firstLine="640"/>
        <w:jc w:val="left"/>
        <w:rPr>
          <w:rFonts w:ascii="仿宋_GB2312" w:hAnsi="仿宋_GB2312" w:eastAsia="仿宋_GB2312" w:cs="仿宋_GB2312"/>
        </w:rPr>
      </w:pPr>
      <w:r>
        <w:rPr>
          <w:rFonts w:hint="eastAsia" w:ascii="仿宋_GB2312" w:hAnsi="仿宋_GB2312" w:eastAsia="仿宋_GB2312" w:cs="仿宋_GB2312"/>
          <w:bCs/>
        </w:rPr>
        <w:t>梳理和更新全市测绘资质单位和质检专家资料，录入</w:t>
      </w:r>
      <w:r>
        <w:rPr>
          <w:rFonts w:hint="eastAsia" w:ascii="仿宋_GB2312" w:hAnsi="仿宋_GB2312" w:eastAsia="仿宋_GB2312" w:cs="仿宋_GB2312"/>
        </w:rPr>
        <w:t>安徽省测绘地理信息“双随机”抽检系统。</w:t>
      </w:r>
    </w:p>
    <w:p>
      <w:pPr>
        <w:widowControl w:val="0"/>
        <w:spacing w:line="600" w:lineRule="exact"/>
        <w:ind w:firstLine="643"/>
        <w:rPr>
          <w:rFonts w:ascii="仿宋_GB2312" w:hAnsi="仿宋_GB2312" w:eastAsia="仿宋_GB2312" w:cs="仿宋_GB2312"/>
          <w:b/>
        </w:rPr>
      </w:pPr>
      <w:bookmarkStart w:id="17" w:name="_Toc68774352"/>
      <w:r>
        <w:rPr>
          <w:rFonts w:hint="eastAsia" w:ascii="仿宋_GB2312" w:hAnsi="仿宋_GB2312" w:eastAsia="仿宋_GB2312" w:cs="仿宋_GB2312"/>
          <w:b/>
        </w:rPr>
        <w:t>2.组织业务培训</w:t>
      </w:r>
    </w:p>
    <w:p>
      <w:pPr>
        <w:widowControl w:val="0"/>
        <w:spacing w:line="600" w:lineRule="exact"/>
        <w:ind w:firstLine="640"/>
        <w:rPr>
          <w:rFonts w:ascii="仿宋_GB2312" w:hAnsi="宋体" w:eastAsia="仿宋_GB2312" w:cs="宋体"/>
          <w:kern w:val="0"/>
        </w:rPr>
      </w:pPr>
      <w:r>
        <w:rPr>
          <w:rFonts w:hint="eastAsia" w:ascii="仿宋_GB2312" w:hAnsi="宋体" w:eastAsia="仿宋_GB2312" w:cs="宋体"/>
          <w:kern w:val="0"/>
        </w:rPr>
        <w:t>组织2024年度全市测绘地理信息“双随机”监督检查专家和测绘资质单位质量管理人员和专业技术人员参加全省测绘地理信息成果质量提升及测绘新技术培训班，确保全市监督检查工作标准和尺度统一。</w:t>
      </w:r>
    </w:p>
    <w:p>
      <w:pPr>
        <w:widowControl w:val="0"/>
        <w:spacing w:line="600" w:lineRule="exact"/>
        <w:ind w:firstLine="643"/>
        <w:rPr>
          <w:rFonts w:ascii="仿宋_GB2312" w:hAnsi="仿宋_GB2312" w:eastAsia="仿宋_GB2312" w:cs="仿宋_GB2312"/>
          <w:b/>
        </w:rPr>
      </w:pPr>
      <w:r>
        <w:rPr>
          <w:rFonts w:hint="eastAsia" w:ascii="仿宋_GB2312" w:hAnsi="仿宋_GB2312" w:eastAsia="仿宋_GB2312" w:cs="仿宋_GB2312"/>
          <w:b/>
        </w:rPr>
        <w:t>3.检查启动</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市局领导小组办公室组织召开市级监督检查启动会，动员部署检查工作。</w:t>
      </w:r>
    </w:p>
    <w:p>
      <w:pPr>
        <w:widowControl w:val="0"/>
        <w:spacing w:line="600" w:lineRule="exact"/>
        <w:ind w:firstLine="643"/>
        <w:rPr>
          <w:rFonts w:ascii="仿宋_GB2312" w:hAnsi="仿宋_GB2312" w:eastAsia="仿宋_GB2312" w:cs="仿宋_GB2312"/>
          <w:b/>
        </w:rPr>
      </w:pPr>
      <w:r>
        <w:rPr>
          <w:rFonts w:hint="eastAsia" w:ascii="仿宋_GB2312" w:hAnsi="仿宋_GB2312" w:eastAsia="仿宋_GB2312" w:cs="仿宋_GB2312"/>
          <w:b/>
        </w:rPr>
        <w:t>4.已抽取甲级资质单位项目上报</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收集省厅领导小组办公室确认的测绘资质单位的测绘项目信息，录入安徽省测绘地理信息“双随机”抽检系统。</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（二）检查实施</w:t>
      </w:r>
      <w:bookmarkEnd w:id="17"/>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bCs/>
        </w:rPr>
        <w:t>1.</w:t>
      </w:r>
      <w:r>
        <w:rPr>
          <w:rFonts w:hint="eastAsia" w:ascii="仿宋_GB2312" w:hAnsi="仿宋_GB2312" w:eastAsia="仿宋_GB2312" w:cs="仿宋_GB2312"/>
        </w:rPr>
        <w:t>检查组向受检单位告知资料、人员、仪器和设备等检查配合事项和安全生产要求，宣讲检查规则和工作纪律。</w:t>
      </w:r>
    </w:p>
    <w:p>
      <w:pPr>
        <w:widowControl w:val="0"/>
        <w:spacing w:line="600" w:lineRule="exact"/>
        <w:ind w:firstLine="640"/>
        <w:rPr>
          <w:rFonts w:ascii="仿宋_GB2312" w:hAnsi="仿宋_GB2312" w:eastAsia="仿宋_GB2312" w:cs="仿宋_GB2312"/>
          <w:b/>
          <w:bCs/>
        </w:rPr>
      </w:pPr>
      <w:r>
        <w:rPr>
          <w:rFonts w:hint="eastAsia" w:ascii="仿宋_GB2312" w:hAnsi="仿宋_GB2312" w:eastAsia="仿宋_GB2312" w:cs="仿宋_GB2312"/>
          <w:bCs/>
        </w:rPr>
        <w:t>2.采用资料检查和实地检查相结合的方式实施测绘资质检查、地理信息安全保密检查和测绘安全生产检查。采用成果概查、详查和实地检核相结合的方式实施测绘成果质量检查</w:t>
      </w:r>
      <w:r>
        <w:rPr>
          <w:rFonts w:hint="eastAsia" w:ascii="仿宋_GB2312" w:hAnsi="仿宋_GB2312" w:eastAsia="仿宋_GB2312" w:cs="仿宋_GB2312"/>
        </w:rPr>
        <w:t>。</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bCs/>
        </w:rPr>
        <w:t>3.检查结束后，检查组向受检单位反馈检查中发现的问题，下达整改通知书，并按要求实施复查。涉嫌违法违规的，通报至相关部门，依法依规立案查处</w:t>
      </w:r>
      <w:r>
        <w:rPr>
          <w:rFonts w:hint="eastAsia" w:ascii="仿宋_GB2312" w:hAnsi="仿宋_GB2312" w:eastAsia="仿宋_GB2312" w:cs="仿宋_GB2312"/>
        </w:rPr>
        <w:t>。</w:t>
      </w:r>
    </w:p>
    <w:p>
      <w:pPr>
        <w:widowControl w:val="0"/>
        <w:spacing w:line="560" w:lineRule="exact"/>
        <w:ind w:firstLine="640"/>
        <w:outlineLvl w:val="1"/>
        <w:rPr>
          <w:rFonts w:ascii="华文楷体" w:hAnsi="华文楷体" w:eastAsia="华文楷体" w:cs="华文楷体"/>
        </w:rPr>
      </w:pPr>
      <w:bookmarkStart w:id="18" w:name="_Toc68774353"/>
      <w:r>
        <w:rPr>
          <w:rFonts w:hint="eastAsia" w:ascii="华文楷体" w:hAnsi="华文楷体" w:eastAsia="华文楷体" w:cs="华文楷体"/>
        </w:rPr>
        <w:t>（三）质量评定与审核</w:t>
      </w:r>
      <w:bookmarkEnd w:id="18"/>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bCs/>
        </w:rPr>
        <w:t>1.检查组汇总检查意见，</w:t>
      </w:r>
      <w:r>
        <w:rPr>
          <w:rFonts w:hint="eastAsia" w:ascii="仿宋_GB2312" w:hAnsi="仿宋_GB2312" w:eastAsia="仿宋_GB2312" w:cs="仿宋_GB2312"/>
        </w:rPr>
        <w:t>编写监督抽查结果报告，包括测绘资质检查报告、地理信息安全保密检查报告、测绘安全生产检查报告和测绘成果质量检查报告或检验报告。</w:t>
      </w:r>
    </w:p>
    <w:p>
      <w:pPr>
        <w:widowControl w:val="0"/>
        <w:spacing w:line="600" w:lineRule="exact"/>
        <w:ind w:firstLine="640"/>
        <w:rPr>
          <w:rFonts w:ascii="仿宋_GB2312" w:hAnsi="仿宋_GB2312" w:eastAsia="仿宋_GB2312" w:cs="仿宋_GB2312"/>
          <w:bCs/>
        </w:rPr>
      </w:pPr>
      <w:r>
        <w:rPr>
          <w:rFonts w:hint="eastAsia" w:ascii="仿宋_GB2312" w:hAnsi="仿宋_GB2312" w:eastAsia="仿宋_GB2312" w:cs="仿宋_GB2312"/>
          <w:bCs/>
        </w:rPr>
        <w:t>2.监督抽查结果报告经市局领导小组办公室审核后报省厅领导小组办公室审核。</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bCs/>
        </w:rPr>
        <w:t>3.监督抽查结果报告通过审核后，按照监督抽查权限，分别由</w:t>
      </w:r>
      <w:r>
        <w:rPr>
          <w:rFonts w:hint="eastAsia" w:ascii="仿宋_GB2312" w:hAnsi="仿宋_GB2312" w:eastAsia="仿宋_GB2312" w:cs="仿宋_GB2312"/>
        </w:rPr>
        <w:t>省厅领导小组和市局领导小组签发。</w:t>
      </w:r>
    </w:p>
    <w:p>
      <w:pPr>
        <w:widowControl w:val="0"/>
        <w:spacing w:line="560" w:lineRule="exact"/>
        <w:ind w:firstLine="640"/>
        <w:outlineLvl w:val="1"/>
        <w:rPr>
          <w:rFonts w:ascii="华文楷体" w:hAnsi="华文楷体" w:eastAsia="华文楷体" w:cs="华文楷体"/>
        </w:rPr>
      </w:pPr>
      <w:bookmarkStart w:id="19" w:name="_Toc68774354"/>
      <w:r>
        <w:rPr>
          <w:rFonts w:hint="eastAsia" w:ascii="华文楷体" w:hAnsi="华文楷体" w:eastAsia="华文楷体" w:cs="华文楷体"/>
        </w:rPr>
        <w:t>（四）结果确认上报</w:t>
      </w:r>
      <w:bookmarkEnd w:id="19"/>
      <w:r>
        <w:rPr>
          <w:rFonts w:hint="eastAsia" w:ascii="华文楷体" w:hAnsi="华文楷体" w:eastAsia="华文楷体" w:cs="华文楷体"/>
        </w:rPr>
        <w:t>和依法公布</w:t>
      </w:r>
    </w:p>
    <w:p>
      <w:pPr>
        <w:widowControl w:val="0"/>
        <w:spacing w:line="600" w:lineRule="exact"/>
        <w:ind w:firstLine="643"/>
        <w:rPr>
          <w:rFonts w:ascii="仿宋_GB2312" w:hAnsi="仿宋_GB2312" w:eastAsia="仿宋_GB2312" w:cs="仿宋_GB2312"/>
        </w:rPr>
      </w:pPr>
      <w:r>
        <w:rPr>
          <w:rFonts w:hint="eastAsia" w:ascii="仿宋_GB2312" w:hAnsi="仿宋_GB2312" w:eastAsia="仿宋_GB2312" w:cs="仿宋_GB2312"/>
          <w:b/>
        </w:rPr>
        <w:t>1.结果确认与异议处理</w:t>
      </w:r>
      <w:r>
        <w:rPr>
          <w:rFonts w:hint="eastAsia" w:ascii="仿宋_GB2312" w:hAnsi="仿宋_GB2312" w:eastAsia="仿宋_GB2312" w:cs="仿宋_GB2312"/>
          <w:bCs/>
        </w:rPr>
        <w:t>抽查工作结束后，在30个工作日内将正式签发的结果报告寄（送）到受检单位。</w:t>
      </w:r>
      <w:r>
        <w:rPr>
          <w:rFonts w:hint="eastAsia" w:ascii="仿宋_GB2312" w:hAnsi="仿宋_GB2312" w:eastAsia="仿宋_GB2312" w:cs="仿宋_GB2312"/>
        </w:rPr>
        <w:t>受检单位对监督抽查结果有异议的，可以自收到监督抽查结果报告之日起15个工作日内向省厅领导小组办公室提出书面复检申请。逾期未提出异议的，视为认可抽查结果。</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省厅领导小组办公室接到受检单位的书面复检申请后，应另组成专家组（参与前期抽查该单位的人员不得参加）分析异议材料；必要时，根据异议材料的内容按监督抽查技术方案对留存的样品组织复检，出具复检结论，并于复检工作完成后10个工作日作出书面答复。</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rPr>
        <w:t>2.上报工作总结</w:t>
      </w:r>
      <w:r>
        <w:rPr>
          <w:rFonts w:hint="eastAsia" w:ascii="仿宋_GB2312" w:hAnsi="仿宋_GB2312" w:eastAsia="仿宋_GB2312" w:cs="仿宋_GB2312"/>
          <w:bCs/>
        </w:rPr>
        <w:t>市局领导小组办公室对监督抽查工作进行全面总结，形成总结报告，上报省厅领导小组办公室。</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rPr>
        <w:t xml:space="preserve">3.依法向社会公布 </w:t>
      </w:r>
      <w:r>
        <w:rPr>
          <w:rFonts w:hint="eastAsia" w:ascii="仿宋_GB2312" w:hAnsi="仿宋_GB2312" w:eastAsia="仿宋_GB2312" w:cs="仿宋_GB2312"/>
          <w:bCs/>
        </w:rPr>
        <w:t>市级测绘地理信息监督抽查结果由市级自然资源主管部门依法向社会公布。</w:t>
      </w:r>
    </w:p>
    <w:p>
      <w:pPr>
        <w:widowControl w:val="0"/>
        <w:spacing w:line="600" w:lineRule="exact"/>
        <w:ind w:firstLine="640"/>
        <w:rPr>
          <w:rFonts w:ascii="仿宋_GB2312" w:hAnsi="仿宋_GB2312" w:eastAsia="仿宋_GB2312" w:cs="仿宋_GB2312"/>
          <w:bCs/>
        </w:rPr>
      </w:pPr>
      <w:r>
        <w:rPr>
          <w:rFonts w:hint="eastAsia" w:ascii="仿宋_GB2312" w:hAnsi="仿宋_GB2312" w:eastAsia="仿宋_GB2312" w:cs="仿宋_GB2312"/>
          <w:bCs/>
        </w:rPr>
        <w:t>受检单位拒绝接受监督检查、不能提交监督检查项目或者不能提交适宜质量检验成果的，监督检查项目质量按“不合格”处理，对判定“批不合格”的结果录入《测绘地理信息行业信用管理系统》。</w:t>
      </w:r>
    </w:p>
    <w:p>
      <w:pPr>
        <w:pStyle w:val="2"/>
        <w:widowControl w:val="0"/>
      </w:pPr>
      <w:r>
        <w:rPr>
          <w:rFonts w:hint="eastAsia"/>
        </w:rPr>
        <w:t>七、检查计划安排</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（一）准备阶段（5月下旬至6月上旬）</w:t>
      </w:r>
    </w:p>
    <w:p>
      <w:pPr>
        <w:widowControl w:val="0"/>
        <w:spacing w:line="600" w:lineRule="exact"/>
        <w:ind w:firstLine="640"/>
        <w:rPr>
          <w:rFonts w:ascii="仿宋_GB2312" w:hAnsi="仿宋_GB2312" w:eastAsia="仿宋_GB2312" w:cs="仿宋_GB2312"/>
        </w:rPr>
      </w:pPr>
      <w:r>
        <w:rPr>
          <w:rFonts w:ascii="仿宋_GB2312" w:hAnsi="仿宋_GB2312" w:eastAsia="仿宋_GB2312" w:cs="仿宋_GB2312"/>
        </w:rPr>
        <w:t>依据省监督抽查实施方案和技术方案，制定市监督检查工作方案，部署检查工作。</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（二）培训阶段（5月下旬至6月上旬）</w:t>
      </w:r>
    </w:p>
    <w:p>
      <w:pPr>
        <w:widowControl w:val="0"/>
        <w:spacing w:line="600" w:lineRule="exact"/>
        <w:ind w:firstLine="640"/>
        <w:rPr>
          <w:rFonts w:ascii="仿宋_GB2312" w:hAnsi="仿宋_GB2312" w:eastAsia="仿宋_GB2312" w:cs="仿宋_GB2312"/>
        </w:rPr>
      </w:pPr>
      <w:r>
        <w:rPr>
          <w:rFonts w:ascii="仿宋_GB2312" w:hAnsi="仿宋_GB2312" w:eastAsia="仿宋_GB2312" w:cs="仿宋_GB2312"/>
        </w:rPr>
        <w:t>组织测绘资质单位技术人员参加省厅召开的测绘地理信息质量“双随机”监督检查业务和新技术培训。</w:t>
      </w:r>
    </w:p>
    <w:p>
      <w:pPr>
        <w:widowControl w:val="0"/>
        <w:spacing w:line="560" w:lineRule="exact"/>
        <w:ind w:firstLine="640"/>
        <w:outlineLvl w:val="1"/>
        <w:rPr>
          <w:rFonts w:ascii="华文楷体" w:hAnsi="华文楷体" w:eastAsia="华文楷体" w:cs="华文楷体"/>
        </w:rPr>
      </w:pPr>
      <w:r>
        <w:rPr>
          <w:rFonts w:ascii="华文楷体" w:hAnsi="华文楷体" w:eastAsia="华文楷体" w:cs="华文楷体"/>
        </w:rPr>
        <w:t>（三）自查和区县检查阶段（</w:t>
      </w:r>
      <w:r>
        <w:rPr>
          <w:rFonts w:hint="eastAsia" w:ascii="华文楷体" w:hAnsi="华文楷体" w:eastAsia="华文楷体" w:cs="华文楷体"/>
        </w:rPr>
        <w:t>6月中旬至7月中旬）</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bCs/>
        </w:rPr>
        <w:t>1.测绘资质自查</w:t>
      </w:r>
      <w:r>
        <w:rPr>
          <w:rFonts w:hint="eastAsia" w:ascii="仿宋_GB2312" w:hAnsi="仿宋_GB2312" w:eastAsia="仿宋_GB2312" w:cs="仿宋_GB2312"/>
          <w:bCs/>
        </w:rPr>
        <w:t xml:space="preserve"> 各测绘资质单位按照测绘资质检查表（附件2）内容对本单位资质情况开展全面自查工作。</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bCs/>
        </w:rPr>
        <w:t>2.测绘地理信息安全保密自查</w:t>
      </w:r>
      <w:r>
        <w:rPr>
          <w:rFonts w:hint="eastAsia" w:ascii="仿宋_GB2312" w:hAnsi="仿宋_GB2312" w:eastAsia="仿宋_GB2312" w:cs="仿宋_GB2312"/>
          <w:bCs/>
        </w:rPr>
        <w:t xml:space="preserve"> 各测绘资质单位按照地理信息安全保密检查表（附件3）内容对本单位地理信息安全保密情况开展全面自查工作。</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bCs/>
        </w:rPr>
        <w:t>3.测绘安全生产自查</w:t>
      </w:r>
      <w:r>
        <w:rPr>
          <w:rFonts w:hint="eastAsia" w:ascii="仿宋_GB2312" w:hAnsi="仿宋_GB2312" w:eastAsia="仿宋_GB2312" w:cs="仿宋_GB2312"/>
          <w:bCs/>
        </w:rPr>
        <w:t xml:space="preserve"> 各测绘资质单位按照测绘安全生产检查表（附件4）内容对本单位安全生产情况开展全面自查工作。</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bCs/>
        </w:rPr>
        <w:t>4.测绘成果质量检查</w:t>
      </w:r>
      <w:r>
        <w:rPr>
          <w:rFonts w:hint="eastAsia" w:ascii="仿宋_GB2312" w:hAnsi="仿宋_GB2312" w:eastAsia="仿宋_GB2312" w:cs="仿宋_GB2312"/>
          <w:bCs/>
        </w:rPr>
        <w:t xml:space="preserve"> 各被检单位应根据监督检查工作方案，对本单位承担完成的测绘成果进行自查、完善，填写项目汇总表（附表5）并加盖公章，统一报市局领导小组办公室。</w:t>
      </w:r>
    </w:p>
    <w:p>
      <w:pPr>
        <w:widowControl w:val="0"/>
        <w:spacing w:line="600" w:lineRule="exact"/>
        <w:ind w:firstLine="643"/>
        <w:rPr>
          <w:rFonts w:ascii="仿宋_GB2312" w:hAnsi="仿宋_GB2312" w:eastAsia="仿宋_GB2312" w:cs="仿宋_GB2312"/>
          <w:bCs/>
        </w:rPr>
      </w:pPr>
      <w:r>
        <w:rPr>
          <w:rFonts w:hint="eastAsia" w:ascii="仿宋_GB2312" w:hAnsi="仿宋_GB2312" w:eastAsia="仿宋_GB2312" w:cs="仿宋_GB2312"/>
          <w:b/>
          <w:bCs/>
        </w:rPr>
        <w:t>5.区县检查 8月上旬</w:t>
      </w:r>
      <w:r>
        <w:rPr>
          <w:rFonts w:hint="eastAsia" w:ascii="仿宋_GB2312" w:hAnsi="仿宋_GB2312" w:eastAsia="仿宋_GB2312" w:cs="仿宋_GB2312"/>
          <w:bCs/>
        </w:rPr>
        <w:t>，各区县自然资源和规划（分）局对辖区内受检单位的测绘资质、测绘安全生产和地理信息安全保密等方面进行全面检查和督促整改，并将检查结查报市局领导小组办公室。</w:t>
      </w:r>
    </w:p>
    <w:p>
      <w:pPr>
        <w:widowControl w:val="0"/>
        <w:spacing w:line="600" w:lineRule="exact"/>
        <w:ind w:firstLine="640"/>
        <w:rPr>
          <w:rFonts w:ascii="仿宋_GB2312" w:hAnsi="仿宋_GB2312" w:eastAsia="仿宋_GB2312" w:cs="仿宋_GB2312"/>
          <w:bCs/>
        </w:rPr>
      </w:pPr>
      <w:r>
        <w:rPr>
          <w:rFonts w:hint="eastAsia" w:ascii="仿宋_GB2312" w:hAnsi="仿宋_GB2312" w:eastAsia="仿宋_GB2312" w:cs="仿宋_GB2312"/>
          <w:bCs/>
        </w:rPr>
        <w:t>各受检单位应按要求准备质量保证体系实证材料和受检查项目资料。包括受检单位资质证书、质量管理相关文档和受检项目测绘合同任务书或招标文件、技术设计书、技术总结、原始观测资料、控制测量资料、过程检查记录、成果检查报告、验收报告，项目所使用仪器的计量检定资料复印件、电子数据等成果资料（含纸质和数据光盘）。</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（四）检查阶段（8月）</w:t>
      </w:r>
    </w:p>
    <w:p>
      <w:pPr>
        <w:widowControl w:val="0"/>
        <w:spacing w:line="600" w:lineRule="exact"/>
        <w:ind w:firstLine="640"/>
        <w:rPr>
          <w:rFonts w:ascii="仿宋_GB2312" w:hAnsi="仿宋_GB2312" w:eastAsia="仿宋_GB2312" w:cs="仿宋_GB2312"/>
          <w:bCs/>
        </w:rPr>
      </w:pPr>
      <w:r>
        <w:rPr>
          <w:rFonts w:hint="eastAsia" w:ascii="仿宋_GB2312" w:hAnsi="仿宋_GB2312" w:eastAsia="仿宋_GB2312" w:cs="仿宋_GB2312"/>
          <w:bCs/>
        </w:rPr>
        <w:t>1.检查的具体时间另行通知受检单位。</w:t>
      </w:r>
    </w:p>
    <w:p>
      <w:pPr>
        <w:widowControl w:val="0"/>
        <w:spacing w:line="600" w:lineRule="exact"/>
        <w:ind w:firstLine="640"/>
        <w:rPr>
          <w:rFonts w:ascii="仿宋_GB2312" w:hAnsi="仿宋_GB2312" w:eastAsia="仿宋_GB2312" w:cs="仿宋_GB2312"/>
          <w:bCs/>
        </w:rPr>
      </w:pPr>
      <w:r>
        <w:rPr>
          <w:rFonts w:hint="eastAsia" w:ascii="仿宋_GB2312" w:hAnsi="仿宋_GB2312" w:eastAsia="仿宋_GB2312" w:cs="仿宋_GB2312"/>
          <w:bCs/>
        </w:rPr>
        <w:t>2.市局抽取受检测绘项目，组织开展测绘成果质量内业检查。内业检查完之后，检查组采用成果概查、详查和实地检核相结合的方式实施测绘成果质量检查。</w:t>
      </w:r>
    </w:p>
    <w:p>
      <w:pPr>
        <w:widowControl w:val="0"/>
        <w:spacing w:line="600" w:lineRule="exact"/>
        <w:ind w:firstLine="640"/>
        <w:rPr>
          <w:rFonts w:ascii="仿宋_GB2312" w:hAnsi="仿宋_GB2312" w:eastAsia="仿宋_GB2312" w:cs="仿宋_GB2312"/>
          <w:bCs/>
        </w:rPr>
      </w:pPr>
      <w:r>
        <w:rPr>
          <w:rFonts w:hint="eastAsia" w:ascii="仿宋_GB2312" w:hAnsi="仿宋_GB2312" w:eastAsia="仿宋_GB2312" w:cs="仿宋_GB2312"/>
          <w:bCs/>
        </w:rPr>
        <w:t>3.采用资料检查和实地检查相结合的方式实施测绘资质检查、地理信息安全保密检查和测绘安全生产检查。</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（五）整改阶段（9月）</w:t>
      </w:r>
    </w:p>
    <w:p>
      <w:pPr>
        <w:widowControl w:val="0"/>
        <w:spacing w:line="600" w:lineRule="exact"/>
        <w:ind w:firstLine="640"/>
        <w:rPr>
          <w:rFonts w:ascii="仿宋_GB2312" w:hAnsi="仿宋_GB2312" w:eastAsia="仿宋_GB2312" w:cs="仿宋_GB2312"/>
          <w:bCs/>
        </w:rPr>
      </w:pPr>
      <w:r>
        <w:rPr>
          <w:rFonts w:hint="eastAsia" w:ascii="仿宋_GB2312" w:hAnsi="仿宋_GB2312" w:eastAsia="仿宋_GB2312" w:cs="仿宋_GB2312"/>
          <w:bCs/>
        </w:rPr>
        <w:t>检查组向受检单位反馈检查中发现的问题，市局领导小组下达《整改通知书》后，受检单位应认真查找原因，积极组织整改（整改时间为期10天），并提交整改报告，拟上报的5家测绘地理质量报省厅领导小组办公室进行复核，其它单位的测绘地理信息质量报市局领导小组办公室复核。</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（六）总结阶段（10月）</w:t>
      </w:r>
    </w:p>
    <w:p>
      <w:pPr>
        <w:widowControl w:val="0"/>
        <w:spacing w:line="600" w:lineRule="exact"/>
        <w:ind w:firstLine="640"/>
        <w:rPr>
          <w:rFonts w:ascii="仿宋_GB2312" w:hAnsi="仿宋_GB2312" w:eastAsia="仿宋_GB2312" w:cs="仿宋_GB2312"/>
          <w:bCs/>
        </w:rPr>
      </w:pPr>
      <w:r>
        <w:rPr>
          <w:rFonts w:hint="eastAsia" w:ascii="仿宋_GB2312" w:hAnsi="仿宋_GB2312" w:eastAsia="仿宋_GB2312" w:cs="仿宋_GB2312"/>
          <w:bCs/>
        </w:rPr>
        <w:t>检查组整理检查资料报市局领导小组，经总结分析检查情况，形成工作总结并上报省厅领导小组。</w:t>
      </w:r>
    </w:p>
    <w:p>
      <w:pPr>
        <w:pStyle w:val="2"/>
        <w:widowControl w:val="0"/>
      </w:pPr>
      <w:r>
        <w:rPr>
          <w:rFonts w:hint="eastAsia"/>
        </w:rPr>
        <w:t>八、工作要求</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（一）严格执行“双随机、一公开”原则</w:t>
      </w:r>
    </w:p>
    <w:p>
      <w:pPr>
        <w:widowControl w:val="0"/>
        <w:spacing w:line="600" w:lineRule="exact"/>
        <w:ind w:firstLine="640"/>
        <w:rPr>
          <w:rFonts w:ascii="仿宋_GB2312" w:hAnsi="仿宋_GB2312" w:eastAsia="仿宋_GB2312" w:cs="仿宋_GB2312"/>
        </w:rPr>
      </w:pPr>
      <w:r>
        <w:rPr>
          <w:rFonts w:hint="eastAsia" w:ascii="仿宋" w:hAnsi="仿宋"/>
        </w:rPr>
        <w:t>监督检查工作要贯彻落实党中央、国务院简政放权、放管结合、优化服务改革的战略部署，按照国务院、自然资源部、省政府相关文件要求，严格执行“双随机、一公开”原则，随机抽取受检对象和质检专家，并及时向社公布年度抽查结果。</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（二）确保被抽查单位无遗漏</w:t>
      </w:r>
    </w:p>
    <w:p>
      <w:pPr>
        <w:widowControl w:val="0"/>
        <w:spacing w:line="600" w:lineRule="exact"/>
        <w:ind w:firstLine="640"/>
        <w:rPr>
          <w:rFonts w:ascii="仿宋" w:hAnsi="仿宋"/>
        </w:rPr>
      </w:pPr>
      <w:r>
        <w:rPr>
          <w:rFonts w:hint="eastAsia" w:ascii="仿宋" w:hAnsi="仿宋"/>
        </w:rPr>
        <w:t>市级自然资源主管部门要全面梳理汇总上年度抽查情况，明确直接纳入本年度监督抽查范围的单位和纳入随机抽查范围的测绘资质单位名单。</w:t>
      </w:r>
    </w:p>
    <w:p>
      <w:pPr>
        <w:widowControl w:val="0"/>
        <w:spacing w:line="600" w:lineRule="exact"/>
        <w:ind w:firstLine="640"/>
        <w:rPr>
          <w:rFonts w:ascii="仿宋" w:hAnsi="仿宋"/>
        </w:rPr>
      </w:pPr>
      <w:r>
        <w:rPr>
          <w:rFonts w:hint="eastAsia" w:ascii="仿宋" w:hAnsi="仿宋"/>
        </w:rPr>
        <w:t>本年度申请暂缓检查的应递交书面申请报告，由市局领导小组办公室审核，经批准后方可延缓检查。</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（三）严密组织科学实施</w:t>
      </w:r>
    </w:p>
    <w:p>
      <w:pPr>
        <w:spacing w:line="572" w:lineRule="exact"/>
        <w:ind w:firstLine="640"/>
        <w:rPr>
          <w:rFonts w:ascii="仿宋_GB2312" w:hAnsi="仿宋" w:eastAsia="仿宋_GB2312" w:cs="仿宋_GB2312"/>
        </w:rPr>
      </w:pPr>
      <w:r>
        <w:rPr>
          <w:rFonts w:hint="eastAsia" w:ascii="仿宋_GB2312" w:hAnsi="仿宋" w:eastAsia="仿宋_GB2312" w:cs="仿宋_GB2312"/>
        </w:rPr>
        <w:t>市局领导小组应对监督抽查实施工作加强督导和检查。监督抽查要遵循合法、公正、公平、公开原则，依据本方案规定的监督抽查依据、程序和方法组织开展，确保监督抽查过程严谨、方法科学、结果可靠。现场监督抽查实施前，应组织检查组成员集中培训，理解掌握相关政策法规规定，熟悉实施方案，统一检验技术口径和评判标准，学习安全生产知识，宣讲质检规则和工作纪律等。在监督抽查实施过程中，实施小组成员应严格按照监督抽查工作程序完成现场检验，检查中遇到的重大问题及时提交市局领导小组办公室确认和裁定。</w:t>
      </w:r>
    </w:p>
    <w:p>
      <w:pPr>
        <w:spacing w:line="572" w:lineRule="exact"/>
        <w:ind w:firstLine="640"/>
        <w:rPr>
          <w:rFonts w:ascii="仿宋_GB2312" w:hAnsi="仿宋_GB2312" w:eastAsia="仿宋_GB2312" w:cs="仿宋_GB2312"/>
        </w:rPr>
      </w:pPr>
      <w:r>
        <w:rPr>
          <w:rFonts w:hint="eastAsia" w:ascii="仿宋_GB2312" w:hAnsi="仿宋" w:eastAsia="仿宋_GB2312" w:cs="仿宋_GB2312"/>
        </w:rPr>
        <w:t>各监督抽查组在现场检查时，应严格按照相关安全生产要求做好安全防护，执行安全操作要求，确保安全。监督抽查中如遇突发情况或安全事故，应及时报告市局领导小组办公室，依法依规迅速妥善处理相关事务。</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 xml:space="preserve">（四）遵规守纪、廉洁自律 </w:t>
      </w:r>
    </w:p>
    <w:p>
      <w:pPr>
        <w:widowControl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监督抽查人员必须遵守法律法规，遵守工作纪律，恪守职业道德，保守受检项目成果涉及的国家秘密、商业秘密和工作秘密，切实履行抽查过程的保密义务，不得泄露和擅自发布监督抽查相关信息。</w:t>
      </w:r>
      <w:bookmarkEnd w:id="12"/>
      <w:bookmarkEnd w:id="13"/>
      <w:bookmarkEnd w:id="14"/>
      <w:bookmarkEnd w:id="15"/>
      <w:bookmarkStart w:id="20" w:name="_Toc179620564"/>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bookmarkStart w:id="21" w:name="_GoBack"/>
      <w:bookmarkEnd w:id="21"/>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737" w:footer="1247" w:gutter="0"/>
          <w:pgNumType w:fmt="numberInDash" w:start="1"/>
          <w:cols w:space="720" w:num="1"/>
          <w:docGrid w:linePitch="435" w:charSpace="0"/>
        </w:sectPr>
      </w:pPr>
    </w:p>
    <w:p>
      <w:pPr>
        <w:widowControl w:val="0"/>
        <w:spacing w:line="600" w:lineRule="exact"/>
        <w:ind w:firstLine="0" w:firstLineChars="0"/>
        <w:rPr>
          <w:rFonts w:ascii="仿宋_GB2312" w:hAnsi="宋体" w:eastAsia="仿宋_GB2312" w:cs="Times New Roman"/>
        </w:rPr>
      </w:pPr>
      <w:r>
        <w:rPr>
          <w:rFonts w:hint="eastAsia" w:ascii="黑体" w:hAnsi="黑体" w:eastAsia="黑体" w:cs="黑体"/>
        </w:rPr>
        <w:t>附件1</w:t>
      </w:r>
    </w:p>
    <w:p>
      <w:pPr>
        <w:spacing w:line="572" w:lineRule="exact"/>
        <w:ind w:firstLine="880"/>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2024年度黄山市测绘地理信息</w:t>
      </w:r>
      <w:r>
        <w:rPr>
          <w:rFonts w:ascii="Times New Roman" w:hAnsi="Times New Roman" w:eastAsia="方正小标宋简体" w:cs="Times New Roman"/>
          <w:sz w:val="44"/>
          <w:szCs w:val="44"/>
        </w:rPr>
        <w:t>“双随机”</w:t>
      </w:r>
      <w:r>
        <w:rPr>
          <w:rFonts w:hint="eastAsia" w:ascii="方正小标宋简体" w:hAnsi="宋体" w:eastAsia="方正小标宋简体" w:cs="Times New Roman"/>
          <w:sz w:val="44"/>
          <w:szCs w:val="44"/>
        </w:rPr>
        <w:t>监督检查领导小组</w:t>
      </w:r>
    </w:p>
    <w:p>
      <w:pPr>
        <w:widowControl w:val="0"/>
        <w:ind w:firstLine="480"/>
        <w:rPr>
          <w:rFonts w:ascii="黑体" w:hAnsi="黑体" w:eastAsia="黑体" w:cs="黑体"/>
          <w:sz w:val="24"/>
          <w:szCs w:val="24"/>
        </w:rPr>
      </w:pPr>
    </w:p>
    <w:bookmarkEnd w:id="20"/>
    <w:tbl>
      <w:tblPr>
        <w:tblStyle w:val="45"/>
        <w:tblW w:w="8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45"/>
        <w:gridCol w:w="1489"/>
        <w:gridCol w:w="2835"/>
        <w:gridCol w:w="184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456" w:type="dxa"/>
            <w:vAlign w:val="center"/>
          </w:tcPr>
          <w:p>
            <w:pPr>
              <w:spacing w:line="400" w:lineRule="exact"/>
              <w:ind w:firstLine="0" w:firstLineChars="0"/>
              <w:jc w:val="center"/>
              <w:rPr>
                <w:rFonts w:ascii="黑体" w:hAnsi="黑体" w:eastAsia="黑体"/>
                <w:bCs/>
                <w:sz w:val="28"/>
                <w:szCs w:val="28"/>
              </w:rPr>
            </w:pPr>
            <w:r>
              <w:rPr>
                <w:rFonts w:hint="eastAsia" w:ascii="黑体" w:hAnsi="黑体" w:eastAsia="黑体"/>
                <w:bCs/>
                <w:sz w:val="28"/>
                <w:szCs w:val="28"/>
              </w:rPr>
              <w:t>序号</w:t>
            </w:r>
          </w:p>
        </w:tc>
        <w:tc>
          <w:tcPr>
            <w:tcW w:w="1245" w:type="dxa"/>
            <w:vAlign w:val="center"/>
          </w:tcPr>
          <w:p>
            <w:pPr>
              <w:spacing w:line="400" w:lineRule="exact"/>
              <w:ind w:firstLine="0" w:firstLineChars="0"/>
              <w:jc w:val="center"/>
              <w:rPr>
                <w:rFonts w:ascii="黑体" w:hAnsi="黑体" w:eastAsia="黑体"/>
                <w:bCs/>
                <w:sz w:val="28"/>
                <w:szCs w:val="28"/>
              </w:rPr>
            </w:pPr>
            <w:r>
              <w:rPr>
                <w:rFonts w:hint="eastAsia" w:ascii="黑体" w:hAnsi="黑体" w:eastAsia="黑体"/>
                <w:bCs/>
                <w:sz w:val="28"/>
                <w:szCs w:val="28"/>
              </w:rPr>
              <w:t>检查组职务</w:t>
            </w:r>
          </w:p>
        </w:tc>
        <w:tc>
          <w:tcPr>
            <w:tcW w:w="1489" w:type="dxa"/>
            <w:vAlign w:val="center"/>
          </w:tcPr>
          <w:p>
            <w:pPr>
              <w:spacing w:line="400" w:lineRule="exact"/>
              <w:ind w:firstLine="0" w:firstLineChars="0"/>
              <w:jc w:val="center"/>
              <w:rPr>
                <w:rFonts w:ascii="黑体" w:hAnsi="黑体" w:eastAsia="黑体"/>
                <w:bCs/>
                <w:sz w:val="28"/>
                <w:szCs w:val="28"/>
              </w:rPr>
            </w:pPr>
            <w:r>
              <w:rPr>
                <w:rFonts w:hint="eastAsia" w:ascii="黑体" w:hAnsi="黑体" w:eastAsia="黑体"/>
                <w:bCs/>
                <w:sz w:val="28"/>
                <w:szCs w:val="28"/>
              </w:rPr>
              <w:t>姓  名</w:t>
            </w:r>
          </w:p>
        </w:tc>
        <w:tc>
          <w:tcPr>
            <w:tcW w:w="2835" w:type="dxa"/>
            <w:vAlign w:val="center"/>
          </w:tcPr>
          <w:p>
            <w:pPr>
              <w:spacing w:line="400" w:lineRule="exact"/>
              <w:ind w:firstLine="0" w:firstLineChars="0"/>
              <w:jc w:val="center"/>
              <w:rPr>
                <w:rFonts w:ascii="黑体" w:hAnsi="黑体" w:eastAsia="黑体"/>
                <w:bCs/>
                <w:sz w:val="28"/>
                <w:szCs w:val="28"/>
              </w:rPr>
            </w:pPr>
            <w:r>
              <w:rPr>
                <w:rFonts w:hint="eastAsia" w:ascii="黑体" w:hAnsi="黑体" w:eastAsia="黑体"/>
                <w:bCs/>
                <w:sz w:val="28"/>
                <w:szCs w:val="28"/>
              </w:rPr>
              <w:t>工 作 单 位</w:t>
            </w:r>
          </w:p>
        </w:tc>
        <w:tc>
          <w:tcPr>
            <w:tcW w:w="1843" w:type="dxa"/>
            <w:vAlign w:val="center"/>
          </w:tcPr>
          <w:p>
            <w:pPr>
              <w:spacing w:line="400" w:lineRule="exact"/>
              <w:ind w:firstLine="0" w:firstLineChars="0"/>
              <w:jc w:val="center"/>
              <w:rPr>
                <w:rFonts w:ascii="黑体" w:hAnsi="黑体" w:eastAsia="黑体"/>
                <w:bCs/>
                <w:sz w:val="28"/>
                <w:szCs w:val="28"/>
              </w:rPr>
            </w:pPr>
            <w:r>
              <w:rPr>
                <w:rFonts w:hint="eastAsia" w:ascii="黑体" w:hAnsi="黑体" w:eastAsia="黑体"/>
                <w:bCs/>
                <w:sz w:val="28"/>
                <w:szCs w:val="28"/>
              </w:rPr>
              <w:t>职务/职称</w:t>
            </w:r>
          </w:p>
        </w:tc>
        <w:tc>
          <w:tcPr>
            <w:tcW w:w="851" w:type="dxa"/>
            <w:vAlign w:val="center"/>
          </w:tcPr>
          <w:p>
            <w:pPr>
              <w:spacing w:line="400" w:lineRule="exact"/>
              <w:ind w:firstLine="0" w:firstLineChars="0"/>
              <w:jc w:val="center"/>
              <w:rPr>
                <w:rFonts w:ascii="黑体" w:hAnsi="黑体" w:eastAsia="黑体"/>
                <w:bCs/>
                <w:sz w:val="28"/>
                <w:szCs w:val="28"/>
              </w:rPr>
            </w:pPr>
            <w:r>
              <w:rPr>
                <w:rFonts w:hint="eastAsia" w:ascii="黑体" w:hAnsi="黑体" w:eastAsia="黑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456" w:type="dxa"/>
            <w:vAlign w:val="center"/>
          </w:tcPr>
          <w:p>
            <w:pPr>
              <w:spacing w:line="400" w:lineRule="exact"/>
              <w:ind w:firstLine="0" w:firstLineChars="0"/>
              <w:jc w:val="center"/>
              <w:rPr>
                <w:rFonts w:ascii="仿宋_GB2312" w:hAnsi="仿宋" w:eastAsia="仿宋_GB2312"/>
                <w:bCs/>
                <w:sz w:val="28"/>
                <w:szCs w:val="28"/>
              </w:rPr>
            </w:pPr>
            <w:r>
              <w:rPr>
                <w:rFonts w:hint="eastAsia" w:ascii="仿宋_GB2312" w:hAnsi="仿宋" w:eastAsia="仿宋_GB2312"/>
                <w:bCs/>
                <w:sz w:val="28"/>
                <w:szCs w:val="28"/>
              </w:rPr>
              <w:t>1</w:t>
            </w:r>
          </w:p>
        </w:tc>
        <w:tc>
          <w:tcPr>
            <w:tcW w:w="1245" w:type="dxa"/>
            <w:vAlign w:val="center"/>
          </w:tcPr>
          <w:p>
            <w:pPr>
              <w:spacing w:line="400" w:lineRule="exact"/>
              <w:ind w:firstLine="0" w:firstLineChars="0"/>
              <w:jc w:val="center"/>
              <w:rPr>
                <w:rFonts w:ascii="仿宋_GB2312" w:hAnsi="仿宋" w:eastAsia="仿宋_GB2312"/>
                <w:bCs/>
                <w:sz w:val="28"/>
                <w:szCs w:val="28"/>
              </w:rPr>
            </w:pPr>
            <w:r>
              <w:rPr>
                <w:rFonts w:hint="eastAsia" w:ascii="仿宋_GB2312" w:hAnsi="仿宋" w:eastAsia="仿宋_GB2312"/>
                <w:bCs/>
                <w:sz w:val="28"/>
                <w:szCs w:val="28"/>
              </w:rPr>
              <w:t>组  长</w:t>
            </w:r>
          </w:p>
        </w:tc>
        <w:tc>
          <w:tcPr>
            <w:tcW w:w="1489" w:type="dxa"/>
            <w:vAlign w:val="center"/>
          </w:tcPr>
          <w:p>
            <w:pPr>
              <w:spacing w:line="400" w:lineRule="exact"/>
              <w:ind w:firstLine="0" w:firstLineChars="0"/>
              <w:jc w:val="center"/>
              <w:rPr>
                <w:rFonts w:ascii="仿宋_GB2312" w:hAnsi="仿宋" w:eastAsia="仿宋_GB2312"/>
                <w:bCs/>
                <w:sz w:val="28"/>
                <w:szCs w:val="28"/>
              </w:rPr>
            </w:pPr>
            <w:r>
              <w:rPr>
                <w:rFonts w:hint="eastAsia" w:ascii="仿宋_GB2312" w:hAnsi="仿宋" w:eastAsia="仿宋_GB2312"/>
                <w:bCs/>
                <w:sz w:val="28"/>
                <w:szCs w:val="28"/>
              </w:rPr>
              <w:t>程  刚</w:t>
            </w:r>
          </w:p>
        </w:tc>
        <w:tc>
          <w:tcPr>
            <w:tcW w:w="2835" w:type="dxa"/>
            <w:vAlign w:val="center"/>
          </w:tcPr>
          <w:p>
            <w:pPr>
              <w:spacing w:line="400" w:lineRule="exact"/>
              <w:ind w:firstLine="0" w:firstLineChars="0"/>
              <w:jc w:val="center"/>
              <w:rPr>
                <w:rFonts w:ascii="仿宋_GB2312" w:hAnsi="仿宋" w:eastAsia="仿宋_GB2312"/>
                <w:bCs/>
                <w:sz w:val="28"/>
                <w:szCs w:val="28"/>
              </w:rPr>
            </w:pPr>
            <w:r>
              <w:rPr>
                <w:rFonts w:hint="eastAsia" w:ascii="仿宋_GB2312" w:hAnsi="仿宋" w:eastAsia="仿宋_GB2312"/>
                <w:bCs/>
                <w:sz w:val="28"/>
                <w:szCs w:val="28"/>
              </w:rPr>
              <w:t>黄山市自然资源</w:t>
            </w:r>
          </w:p>
          <w:p>
            <w:pPr>
              <w:spacing w:line="400" w:lineRule="exact"/>
              <w:ind w:firstLine="0" w:firstLineChars="0"/>
              <w:jc w:val="center"/>
              <w:rPr>
                <w:rFonts w:ascii="仿宋_GB2312" w:hAnsi="仿宋" w:eastAsia="仿宋_GB2312"/>
                <w:bCs/>
                <w:sz w:val="28"/>
                <w:szCs w:val="28"/>
              </w:rPr>
            </w:pPr>
            <w:r>
              <w:rPr>
                <w:rFonts w:hint="eastAsia" w:ascii="仿宋_GB2312" w:hAnsi="仿宋" w:eastAsia="仿宋_GB2312"/>
                <w:bCs/>
                <w:sz w:val="28"/>
                <w:szCs w:val="28"/>
              </w:rPr>
              <w:t>和规划局</w:t>
            </w:r>
          </w:p>
        </w:tc>
        <w:tc>
          <w:tcPr>
            <w:tcW w:w="1843" w:type="dxa"/>
            <w:vAlign w:val="center"/>
          </w:tcPr>
          <w:p>
            <w:pPr>
              <w:spacing w:line="400" w:lineRule="exact"/>
              <w:ind w:firstLine="0" w:firstLineChars="0"/>
              <w:jc w:val="center"/>
              <w:rPr>
                <w:rFonts w:ascii="仿宋_GB2312" w:hAnsi="仿宋" w:eastAsia="仿宋_GB2312"/>
                <w:bCs/>
                <w:sz w:val="28"/>
                <w:szCs w:val="28"/>
              </w:rPr>
            </w:pPr>
            <w:r>
              <w:rPr>
                <w:rFonts w:hint="eastAsia" w:ascii="仿宋_GB2312" w:hAnsi="仿宋" w:eastAsia="仿宋_GB2312"/>
                <w:bCs/>
                <w:sz w:val="28"/>
                <w:szCs w:val="28"/>
              </w:rPr>
              <w:t>党组成员</w:t>
            </w:r>
          </w:p>
          <w:p>
            <w:pPr>
              <w:spacing w:line="400" w:lineRule="exact"/>
              <w:ind w:firstLine="0" w:firstLineChars="0"/>
              <w:jc w:val="center"/>
              <w:rPr>
                <w:rFonts w:ascii="仿宋_GB2312" w:hAnsi="仿宋" w:eastAsia="仿宋_GB2312"/>
                <w:bCs/>
                <w:sz w:val="28"/>
                <w:szCs w:val="28"/>
              </w:rPr>
            </w:pPr>
            <w:r>
              <w:rPr>
                <w:rFonts w:hint="eastAsia" w:ascii="仿宋_GB2312" w:hAnsi="仿宋" w:eastAsia="仿宋_GB2312"/>
                <w:bCs/>
                <w:sz w:val="28"/>
                <w:szCs w:val="28"/>
              </w:rPr>
              <w:t>副局长</w:t>
            </w:r>
          </w:p>
        </w:tc>
        <w:tc>
          <w:tcPr>
            <w:tcW w:w="851" w:type="dxa"/>
            <w:vAlign w:val="center"/>
          </w:tcPr>
          <w:p>
            <w:pPr>
              <w:spacing w:line="400" w:lineRule="exact"/>
              <w:ind w:firstLine="560"/>
              <w:jc w:val="center"/>
              <w:rPr>
                <w:rFonts w:ascii="仿宋_GB2312" w:hAnsi="仿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456"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2</w:t>
            </w:r>
          </w:p>
        </w:tc>
        <w:tc>
          <w:tcPr>
            <w:tcW w:w="1245"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副组长</w:t>
            </w:r>
          </w:p>
        </w:tc>
        <w:tc>
          <w:tcPr>
            <w:tcW w:w="1489" w:type="dxa"/>
            <w:tcBorders>
              <w:bottom w:val="single" w:color="auto" w:sz="4" w:space="0"/>
            </w:tcBorders>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施春敏</w:t>
            </w:r>
          </w:p>
        </w:tc>
        <w:tc>
          <w:tcPr>
            <w:tcW w:w="2835" w:type="dxa"/>
            <w:tcBorders>
              <w:bottom w:val="single" w:color="auto" w:sz="4" w:space="0"/>
            </w:tcBorders>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测绘地理信息管理科</w:t>
            </w:r>
          </w:p>
        </w:tc>
        <w:tc>
          <w:tcPr>
            <w:tcW w:w="1843" w:type="dxa"/>
            <w:tcBorders>
              <w:bottom w:val="single" w:color="auto" w:sz="4" w:space="0"/>
            </w:tcBorders>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科  长</w:t>
            </w:r>
          </w:p>
        </w:tc>
        <w:tc>
          <w:tcPr>
            <w:tcW w:w="851" w:type="dxa"/>
            <w:tcBorders>
              <w:bottom w:val="single" w:color="auto" w:sz="4" w:space="0"/>
            </w:tcBorders>
            <w:vAlign w:val="center"/>
          </w:tcPr>
          <w:p>
            <w:pPr>
              <w:spacing w:line="400" w:lineRule="exact"/>
              <w:ind w:firstLine="560"/>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456"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3</w:t>
            </w:r>
          </w:p>
        </w:tc>
        <w:tc>
          <w:tcPr>
            <w:tcW w:w="1245"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成  员</w:t>
            </w:r>
          </w:p>
        </w:tc>
        <w:tc>
          <w:tcPr>
            <w:tcW w:w="1489" w:type="dxa"/>
            <w:vAlign w:val="center"/>
          </w:tcPr>
          <w:p>
            <w:pPr>
              <w:spacing w:line="400" w:lineRule="exact"/>
              <w:ind w:firstLine="0" w:firstLineChars="0"/>
              <w:jc w:val="center"/>
              <w:rPr>
                <w:rFonts w:ascii="仿宋_GB2312" w:hAnsi="仿宋" w:eastAsia="仿宋_GB2312"/>
                <w:bCs/>
                <w:sz w:val="28"/>
                <w:szCs w:val="28"/>
              </w:rPr>
            </w:pPr>
            <w:r>
              <w:rPr>
                <w:rFonts w:hint="eastAsia" w:ascii="仿宋_GB2312" w:hAnsi="仿宋" w:eastAsia="仿宋_GB2312"/>
                <w:sz w:val="28"/>
                <w:szCs w:val="28"/>
              </w:rPr>
              <w:t>郑波涛</w:t>
            </w:r>
          </w:p>
        </w:tc>
        <w:tc>
          <w:tcPr>
            <w:tcW w:w="2835" w:type="dxa"/>
            <w:vAlign w:val="center"/>
          </w:tcPr>
          <w:p>
            <w:pPr>
              <w:spacing w:line="400" w:lineRule="exact"/>
              <w:ind w:firstLine="0" w:firstLineChars="0"/>
              <w:jc w:val="center"/>
              <w:rPr>
                <w:rFonts w:ascii="仿宋_GB2312" w:hAnsi="仿宋" w:eastAsia="仿宋_GB2312"/>
                <w:bCs/>
                <w:sz w:val="28"/>
                <w:szCs w:val="28"/>
              </w:rPr>
            </w:pPr>
            <w:r>
              <w:rPr>
                <w:rFonts w:hint="eastAsia" w:ascii="仿宋_GB2312" w:hAnsi="仿宋" w:eastAsia="仿宋_GB2312"/>
                <w:sz w:val="28"/>
                <w:szCs w:val="28"/>
              </w:rPr>
              <w:t>测绘地理信息管理科</w:t>
            </w:r>
          </w:p>
        </w:tc>
        <w:tc>
          <w:tcPr>
            <w:tcW w:w="1843" w:type="dxa"/>
            <w:vAlign w:val="center"/>
          </w:tcPr>
          <w:p>
            <w:pPr>
              <w:spacing w:line="400" w:lineRule="exact"/>
              <w:ind w:firstLine="0" w:firstLineChars="0"/>
              <w:jc w:val="center"/>
              <w:rPr>
                <w:rFonts w:ascii="仿宋_GB2312" w:hAnsi="仿宋" w:eastAsia="仿宋_GB2312"/>
                <w:sz w:val="28"/>
                <w:szCs w:val="28"/>
              </w:rPr>
            </w:pPr>
            <w:r>
              <w:rPr>
                <w:rFonts w:ascii="仿宋_GB2312" w:hAnsi="仿宋" w:eastAsia="仿宋_GB2312"/>
                <w:sz w:val="28"/>
                <w:szCs w:val="28"/>
              </w:rPr>
              <w:t>科员</w:t>
            </w:r>
          </w:p>
        </w:tc>
        <w:tc>
          <w:tcPr>
            <w:tcW w:w="851" w:type="dxa"/>
            <w:vAlign w:val="center"/>
          </w:tcPr>
          <w:p>
            <w:pPr>
              <w:spacing w:line="400" w:lineRule="exact"/>
              <w:ind w:firstLine="560"/>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456"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4</w:t>
            </w:r>
          </w:p>
        </w:tc>
        <w:tc>
          <w:tcPr>
            <w:tcW w:w="1245" w:type="dxa"/>
            <w:vAlign w:val="center"/>
          </w:tcPr>
          <w:p>
            <w:pPr>
              <w:spacing w:line="400" w:lineRule="exact"/>
              <w:ind w:firstLine="0" w:firstLineChars="0"/>
              <w:jc w:val="center"/>
              <w:rPr>
                <w:rFonts w:ascii="仿宋_GB2312" w:hAnsi="仿宋" w:eastAsia="仿宋_GB2312"/>
                <w:sz w:val="28"/>
                <w:szCs w:val="28"/>
              </w:rPr>
            </w:pPr>
            <w:r>
              <w:rPr>
                <w:rFonts w:ascii="仿宋_GB2312" w:hAnsi="仿宋" w:eastAsia="仿宋_GB2312"/>
                <w:sz w:val="28"/>
                <w:szCs w:val="28"/>
              </w:rPr>
              <w:t>成员</w:t>
            </w:r>
          </w:p>
        </w:tc>
        <w:tc>
          <w:tcPr>
            <w:tcW w:w="1489" w:type="dxa"/>
            <w:vAlign w:val="center"/>
          </w:tcPr>
          <w:p>
            <w:pPr>
              <w:spacing w:line="400" w:lineRule="exact"/>
              <w:ind w:firstLine="0" w:firstLineChars="0"/>
              <w:jc w:val="center"/>
              <w:rPr>
                <w:rFonts w:ascii="仿宋_GB2312" w:hAnsi="仿宋" w:eastAsia="仿宋_GB2312"/>
                <w:bCs/>
                <w:sz w:val="28"/>
                <w:szCs w:val="28"/>
              </w:rPr>
            </w:pPr>
            <w:r>
              <w:rPr>
                <w:rFonts w:ascii="仿宋_GB2312" w:hAnsi="仿宋" w:eastAsia="仿宋_GB2312"/>
                <w:bCs/>
                <w:sz w:val="28"/>
                <w:szCs w:val="28"/>
              </w:rPr>
              <w:t>杨小兵</w:t>
            </w:r>
          </w:p>
        </w:tc>
        <w:tc>
          <w:tcPr>
            <w:tcW w:w="2835" w:type="dxa"/>
            <w:vAlign w:val="center"/>
          </w:tcPr>
          <w:p>
            <w:pPr>
              <w:spacing w:line="400" w:lineRule="exact"/>
              <w:ind w:firstLine="0" w:firstLineChars="0"/>
              <w:jc w:val="center"/>
              <w:rPr>
                <w:rFonts w:ascii="仿宋_GB2312" w:hAnsi="仿宋" w:eastAsia="仿宋_GB2312"/>
                <w:bCs/>
                <w:sz w:val="28"/>
                <w:szCs w:val="28"/>
              </w:rPr>
            </w:pPr>
            <w:r>
              <w:rPr>
                <w:rFonts w:hint="eastAsia" w:ascii="仿宋_GB2312" w:hAnsi="仿宋" w:eastAsia="仿宋_GB2312"/>
                <w:sz w:val="28"/>
                <w:szCs w:val="28"/>
              </w:rPr>
              <w:t>测绘地理信息管理科</w:t>
            </w:r>
          </w:p>
        </w:tc>
        <w:tc>
          <w:tcPr>
            <w:tcW w:w="1843" w:type="dxa"/>
            <w:vAlign w:val="center"/>
          </w:tcPr>
          <w:p>
            <w:pPr>
              <w:spacing w:line="400" w:lineRule="exact"/>
              <w:ind w:firstLine="0" w:firstLineChars="0"/>
              <w:jc w:val="center"/>
              <w:rPr>
                <w:rFonts w:ascii="仿宋_GB2312" w:hAnsi="仿宋" w:eastAsia="仿宋_GB2312"/>
                <w:sz w:val="28"/>
                <w:szCs w:val="28"/>
              </w:rPr>
            </w:pPr>
            <w:r>
              <w:rPr>
                <w:rFonts w:ascii="仿宋_GB2312" w:hAnsi="仿宋" w:eastAsia="仿宋_GB2312"/>
                <w:sz w:val="28"/>
                <w:szCs w:val="28"/>
              </w:rPr>
              <w:t>工程师</w:t>
            </w:r>
          </w:p>
        </w:tc>
        <w:tc>
          <w:tcPr>
            <w:tcW w:w="851" w:type="dxa"/>
            <w:vAlign w:val="center"/>
          </w:tcPr>
          <w:p>
            <w:pPr>
              <w:spacing w:line="400" w:lineRule="exact"/>
              <w:ind w:firstLine="560"/>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456"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5</w:t>
            </w:r>
          </w:p>
        </w:tc>
        <w:tc>
          <w:tcPr>
            <w:tcW w:w="1245"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成  员</w:t>
            </w:r>
          </w:p>
        </w:tc>
        <w:tc>
          <w:tcPr>
            <w:tcW w:w="1489"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岳  甲</w:t>
            </w:r>
          </w:p>
        </w:tc>
        <w:tc>
          <w:tcPr>
            <w:tcW w:w="2835"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黄山市自然资源勘测规划院</w:t>
            </w:r>
          </w:p>
        </w:tc>
        <w:tc>
          <w:tcPr>
            <w:tcW w:w="1843"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高级工程师</w:t>
            </w:r>
          </w:p>
        </w:tc>
        <w:tc>
          <w:tcPr>
            <w:tcW w:w="851"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注册测绘师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456"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6</w:t>
            </w:r>
          </w:p>
        </w:tc>
        <w:tc>
          <w:tcPr>
            <w:tcW w:w="1245"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成  员</w:t>
            </w:r>
          </w:p>
        </w:tc>
        <w:tc>
          <w:tcPr>
            <w:tcW w:w="1489"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各区县局分管领导及测绘地理信息股负责人</w:t>
            </w:r>
          </w:p>
        </w:tc>
        <w:tc>
          <w:tcPr>
            <w:tcW w:w="2835" w:type="dxa"/>
            <w:vAlign w:val="center"/>
          </w:tcPr>
          <w:p>
            <w:pPr>
              <w:spacing w:line="400" w:lineRule="exact"/>
              <w:ind w:firstLine="0" w:firstLineChars="0"/>
              <w:jc w:val="center"/>
              <w:rPr>
                <w:rFonts w:ascii="仿宋_GB2312" w:hAnsi="仿宋" w:eastAsia="仿宋_GB2312"/>
                <w:sz w:val="28"/>
                <w:szCs w:val="28"/>
              </w:rPr>
            </w:pPr>
            <w:r>
              <w:rPr>
                <w:rFonts w:hint="eastAsia" w:ascii="仿宋_GB2312" w:hAnsi="仿宋" w:eastAsia="仿宋_GB2312"/>
                <w:sz w:val="28"/>
                <w:szCs w:val="28"/>
              </w:rPr>
              <w:t>所在区县局、分局</w:t>
            </w:r>
          </w:p>
        </w:tc>
        <w:tc>
          <w:tcPr>
            <w:tcW w:w="1843" w:type="dxa"/>
            <w:vAlign w:val="center"/>
          </w:tcPr>
          <w:p>
            <w:pPr>
              <w:spacing w:line="400" w:lineRule="exact"/>
              <w:ind w:firstLine="0" w:firstLineChars="0"/>
              <w:jc w:val="center"/>
              <w:rPr>
                <w:rFonts w:ascii="仿宋_GB2312" w:hAnsi="仿宋" w:eastAsia="仿宋_GB2312"/>
                <w:sz w:val="28"/>
                <w:szCs w:val="28"/>
              </w:rPr>
            </w:pPr>
          </w:p>
        </w:tc>
        <w:tc>
          <w:tcPr>
            <w:tcW w:w="851" w:type="dxa"/>
            <w:vAlign w:val="center"/>
          </w:tcPr>
          <w:p>
            <w:pPr>
              <w:spacing w:line="400" w:lineRule="exact"/>
              <w:ind w:firstLine="0" w:firstLineChars="0"/>
              <w:jc w:val="center"/>
              <w:rPr>
                <w:rFonts w:ascii="仿宋_GB2312" w:hAnsi="仿宋" w:eastAsia="仿宋_GB2312"/>
                <w:sz w:val="28"/>
                <w:szCs w:val="28"/>
              </w:rPr>
            </w:pPr>
          </w:p>
        </w:tc>
      </w:tr>
    </w:tbl>
    <w:p>
      <w:pPr>
        <w:widowControl w:val="0"/>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pPr>
    </w:p>
    <w:p>
      <w:pPr>
        <w:widowControl w:val="0"/>
        <w:spacing w:line="600" w:lineRule="exact"/>
        <w:ind w:firstLine="640"/>
        <w:rPr>
          <w:rFonts w:ascii="仿宋_GB2312" w:hAnsi="仿宋_GB2312" w:eastAsia="仿宋_GB2312" w:cs="仿宋_GB2312"/>
        </w:rPr>
        <w:sectPr>
          <w:footerReference r:id="rId9" w:type="default"/>
          <w:pgSz w:w="11907" w:h="16840"/>
          <w:pgMar w:top="1440" w:right="1797" w:bottom="1440" w:left="1797" w:header="737" w:footer="1247" w:gutter="0"/>
          <w:pgNumType w:fmt="numberInDash" w:start="1"/>
          <w:cols w:space="720" w:num="1"/>
          <w:docGrid w:linePitch="435" w:charSpace="0"/>
        </w:sectPr>
      </w:pP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附表2</w:t>
      </w:r>
    </w:p>
    <w:p>
      <w:pPr>
        <w:spacing w:line="240" w:lineRule="auto"/>
        <w:ind w:firstLine="5632" w:firstLineChars="1760"/>
        <w:rPr>
          <w:rFonts w:ascii="方正小标宋简体" w:eastAsia="方正小标宋简体"/>
        </w:rPr>
      </w:pPr>
      <w:r>
        <w:rPr>
          <w:rFonts w:hint="eastAsia" w:ascii="方正小标宋简体" w:eastAsia="方正小标宋简体"/>
        </w:rPr>
        <w:t>测绘资质检查表</w:t>
      </w:r>
    </w:p>
    <w:tbl>
      <w:tblPr>
        <w:tblStyle w:val="4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832"/>
        <w:gridCol w:w="716"/>
        <w:gridCol w:w="501"/>
        <w:gridCol w:w="6"/>
        <w:gridCol w:w="955"/>
        <w:gridCol w:w="5790"/>
        <w:gridCol w:w="1629"/>
        <w:gridCol w:w="699"/>
        <w:gridCol w:w="110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3118" w:type="dxa"/>
            <w:gridSpan w:val="4"/>
            <w:vMerge w:val="restart"/>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w:t>
            </w:r>
          </w:p>
        </w:tc>
        <w:tc>
          <w:tcPr>
            <w:tcW w:w="6751" w:type="dxa"/>
            <w:gridSpan w:val="3"/>
            <w:vMerge w:val="restart"/>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检查内容及要求</w:t>
            </w:r>
          </w:p>
        </w:tc>
        <w:tc>
          <w:tcPr>
            <w:tcW w:w="1629" w:type="dxa"/>
            <w:vMerge w:val="restart"/>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检查记录</w:t>
            </w:r>
          </w:p>
        </w:tc>
        <w:tc>
          <w:tcPr>
            <w:tcW w:w="2644" w:type="dxa"/>
            <w:gridSpan w:val="3"/>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3118" w:type="dxa"/>
            <w:gridSpan w:val="4"/>
            <w:vMerge w:val="continue"/>
            <w:vAlign w:val="center"/>
          </w:tcPr>
          <w:p>
            <w:pPr>
              <w:ind w:firstLine="0" w:firstLineChars="0"/>
              <w:jc w:val="center"/>
              <w:rPr>
                <w:rFonts w:ascii="仿宋_GB2312" w:hAnsi="仿宋_GB2312" w:eastAsia="仿宋_GB2312" w:cs="仿宋_GB2312"/>
                <w:b/>
                <w:bCs/>
                <w:kern w:val="0"/>
                <w:sz w:val="20"/>
                <w:szCs w:val="20"/>
              </w:rPr>
            </w:pPr>
          </w:p>
        </w:tc>
        <w:tc>
          <w:tcPr>
            <w:tcW w:w="6751" w:type="dxa"/>
            <w:gridSpan w:val="3"/>
            <w:vMerge w:val="continue"/>
            <w:vAlign w:val="center"/>
          </w:tcPr>
          <w:p>
            <w:pPr>
              <w:ind w:firstLine="0" w:firstLineChars="0"/>
              <w:jc w:val="center"/>
              <w:rPr>
                <w:rFonts w:ascii="仿宋_GB2312" w:hAnsi="仿宋_GB2312" w:eastAsia="仿宋_GB2312" w:cs="仿宋_GB2312"/>
                <w:b/>
                <w:bCs/>
                <w:kern w:val="0"/>
                <w:sz w:val="20"/>
                <w:szCs w:val="20"/>
              </w:rPr>
            </w:pPr>
          </w:p>
        </w:tc>
        <w:tc>
          <w:tcPr>
            <w:tcW w:w="1629" w:type="dxa"/>
            <w:vMerge w:val="continue"/>
            <w:vAlign w:val="center"/>
          </w:tcPr>
          <w:p>
            <w:pPr>
              <w:ind w:firstLine="0" w:firstLineChars="0"/>
              <w:jc w:val="center"/>
              <w:rPr>
                <w:rFonts w:ascii="仿宋_GB2312" w:hAnsi="仿宋_GB2312" w:eastAsia="仿宋_GB2312" w:cs="仿宋_GB2312"/>
                <w:b/>
                <w:bCs/>
                <w:kern w:val="0"/>
                <w:sz w:val="20"/>
                <w:szCs w:val="20"/>
              </w:rPr>
            </w:pPr>
          </w:p>
        </w:tc>
        <w:tc>
          <w:tcPr>
            <w:tcW w:w="69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符合</w:t>
            </w:r>
          </w:p>
        </w:tc>
        <w:tc>
          <w:tcPr>
            <w:tcW w:w="110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基本符合</w:t>
            </w:r>
          </w:p>
        </w:tc>
        <w:tc>
          <w:tcPr>
            <w:tcW w:w="836"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69"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1.符合测绘资质条件</w:t>
            </w:r>
          </w:p>
        </w:tc>
        <w:tc>
          <w:tcPr>
            <w:tcW w:w="2049"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1.1测绘安全保障措施和管理</w:t>
            </w: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1.是否设立测绘地理信息安全保密工作机构。</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2.涉密测绘业务的人员是否为中华人民共和国国籍，签订保密责任书，接受保密教育。</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3.是否建立健全测绘地理信息安全保密管理制度。明确涉密人员管理、保密要害部门部位管理、涉密设备与存储介质管理、涉密测绘成果全流程保密、保密自查等要求。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4.是否明确涉密测绘成果使用审批流程和责任人，是否有涉密测绘成果使用流程规章制度；是否有涉密测绘成果使用台账。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5.涉密介质和涉密网络相关规定。</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6.是否建立健全涉密测绘外业安全保密管理制度，落实监管人员和保密责任，外业所用涉密计算机纳入涉密单机进行管理。</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7.对属于国家秘密的地理信息的获取、持有、提供、利用情况是否进行登记并长期保存，实行可追溯管理。</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*8.是否发生过失泄密情况，是否有因失泄密隐患问题被公安、保密、安全、网安等部门处理情况等。</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1.2技术和质量保证体系</w:t>
            </w:r>
          </w:p>
        </w:tc>
        <w:tc>
          <w:tcPr>
            <w:tcW w:w="1217"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1.2.1机构人员</w:t>
            </w: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9.是否设立技术和质量管理机构。</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10.是否明确技术和质量管理工作的主管领导、技术和质量管理机构的负责人。技术和质量管理机构负责人是否具备中级及以上测绘专业技术职称。</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11.是否配备与业务相适应的质检人员。质检人员是否是测绘专业技术人员。</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1.2.2管理制度</w:t>
            </w: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12.是否建立健全技术管理制度，明确技术设计、技术处理和技术总结等要求。其中简单、日常性的测绘项目可以制定《作业指导书》。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13.是否建立健全质量检查管理制度，明确过程检查、最终检查、质量评定、检查记录和检查报告等要求。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bottom"/>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14.是否建立健全人员培训与岗位管理制度，明确岗位职责、岗前培训考核、继续教育等要求。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bottom"/>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15.是否建立健全测绘仪器设备检定、校准管理制度，明确测绘仪器设备的检定、校准、日常管理等要求。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1.2.3其他</w:t>
            </w: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16.测绘技术和质量保证体系应当遵守法律法规规章等有关规定。</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1.3测绘成果和资料档案管理</w:t>
            </w:r>
          </w:p>
        </w:tc>
        <w:tc>
          <w:tcPr>
            <w:tcW w:w="1223"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1.3.1机构人员</w:t>
            </w: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17.是否设立测绘成果和资料档案管理机构。</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18.是否明确测绘成果和资料档案管理工作的主管领导、工作人员及岗位职责。</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1.3.2管理制度</w:t>
            </w: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19.是否建立健全测绘成果和资料档案管理制度，明确测绘成果接收、整理、保管、使用、销毁以及建立台账等管理要求。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20.是否建立健全测绘成果和资料档案信息化管理的安全保护制度。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21.是否建立了涉密成果资料泄密事件报告和补救制度。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1.3.3设施设备</w:t>
            </w:r>
          </w:p>
        </w:tc>
        <w:tc>
          <w:tcPr>
            <w:tcW w:w="6745"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*22.是否有专门的测绘成果和资料档案库房，具备防盗、防火、防潮、防光、防尘、防磁、防有害生物和污染等安全措施。</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23.是否配有与业务相适应的测绘成果和资料档案专用柜架、专用数据存储设备。</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1.3.4其他</w:t>
            </w:r>
          </w:p>
        </w:tc>
        <w:tc>
          <w:tcPr>
            <w:tcW w:w="6745"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24.测测绘成果和资料档案管理应当遵守法律法规规章等有关规定。</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1.4专业技术人员</w:t>
            </w: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*25.专业技术人员及相关专业技术人员数量符合要求。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26.专业技术人员不得兼职。</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27.甲、乙级测绘资质，退休的专业技术人员分别不超过2人，1人。</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28.变更专业技术人员的，应当在三十日内通过全国测绘资质管理信息系统申请更新有关信息。</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1.5技术装备</w:t>
            </w: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*29.技术装备数量、规格、精度等应符合要求。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30.变更技术装备的，应当在三十日内通过全国测绘资质管理信息系统申请更新有关信息。</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069"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2.遵守测绘地理信息法律法规。</w:t>
            </w: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2.1超资质测绘</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*31.承担的测绘测绘地理信息项目是否符合测绘资质要求。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2.2项目转包、分包</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*32.无违法转包、分包行为。</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2.3项目备案</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33.是否按要求进行测绘地理信息项目备案。</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2.4其他违法情况</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*34.无其他违反测绘地理信息法律法规的情况。</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9" w:type="dxa"/>
            <w:vMerge w:val="restart"/>
            <w:vAlign w:val="center"/>
          </w:tcPr>
          <w:p>
            <w:pPr>
              <w:spacing w:line="240" w:lineRule="auto"/>
              <w:ind w:firstLine="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0"/>
                <w:szCs w:val="20"/>
              </w:rPr>
              <w:t>3.测绘地理信息统计上报</w:t>
            </w:r>
          </w:p>
        </w:tc>
        <w:tc>
          <w:tcPr>
            <w:tcW w:w="1548" w:type="dxa"/>
            <w:gridSpan w:val="2"/>
            <w:vMerge w:val="restart"/>
            <w:vAlign w:val="center"/>
          </w:tcPr>
          <w:p>
            <w:pPr>
              <w:spacing w:line="240" w:lineRule="auto"/>
              <w:ind w:firstLine="40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3.1年度、季度统计报告</w:t>
            </w:r>
          </w:p>
        </w:tc>
        <w:tc>
          <w:tcPr>
            <w:tcW w:w="14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3.1.1时效性</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35.测绘地理信息年度、季度统计报告是否及时。</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1548"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4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3.1.2完整性</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36.测绘地理信息年度、季度统计报告内容是否完整。</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3.2信用信息上报</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37.测绘地理信息信用信息上报及时、准确，无瞒报、漏报情况。</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069" w:type="dxa"/>
            <w:vAlign w:val="center"/>
          </w:tcPr>
          <w:p>
            <w:pPr>
              <w:spacing w:line="240" w:lineRule="auto"/>
              <w:ind w:firstLine="0" w:firstLineChars="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13073" w:type="dxa"/>
            <w:gridSpan w:val="10"/>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带“*”的检查内容评价采用符合、不符合两级评定，不带“*”的检查内容评价采用符合、基本符合、不符合三级评定。</w:t>
            </w:r>
          </w:p>
        </w:tc>
      </w:tr>
    </w:tbl>
    <w:p>
      <w:pPr>
        <w:spacing w:line="240" w:lineRule="auto"/>
        <w:ind w:firstLine="0" w:firstLineChars="0"/>
        <w:rPr>
          <w:rFonts w:ascii="仿宋" w:hAnsi="仿宋" w:cs="宋体"/>
          <w:kern w:val="0"/>
          <w:sz w:val="20"/>
          <w:szCs w:val="20"/>
        </w:rPr>
      </w:pPr>
    </w:p>
    <w:p>
      <w:pPr>
        <w:spacing w:line="240" w:lineRule="auto"/>
        <w:ind w:firstLine="0" w:firstLineChars="0"/>
        <w:rPr>
          <w:rFonts w:ascii="仿宋" w:hAnsi="仿宋"/>
          <w:sz w:val="28"/>
          <w:szCs w:val="28"/>
        </w:rPr>
      </w:pPr>
      <w:r>
        <w:rPr>
          <w:rFonts w:hint="eastAsia" w:ascii="仿宋" w:hAnsi="仿宋" w:cs="宋体"/>
          <w:kern w:val="0"/>
          <w:sz w:val="20"/>
          <w:szCs w:val="20"/>
        </w:rPr>
        <w:t>检查者：                    日期：                                        复核者：                     日期：</w:t>
      </w:r>
      <w:r>
        <w:rPr>
          <w:rFonts w:ascii="仿宋" w:hAnsi="仿宋" w:cs="宋体"/>
          <w:kern w:val="0"/>
          <w:sz w:val="20"/>
          <w:szCs w:val="20"/>
        </w:rPr>
        <w:br w:type="page"/>
      </w: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附表3</w:t>
      </w:r>
    </w:p>
    <w:p>
      <w:pPr>
        <w:spacing w:line="240" w:lineRule="auto"/>
        <w:ind w:firstLine="0" w:firstLineChars="0"/>
        <w:jc w:val="center"/>
        <w:rPr>
          <w:rFonts w:ascii="方正小标宋简体" w:eastAsia="方正小标宋简体"/>
        </w:rPr>
      </w:pPr>
      <w:r>
        <w:rPr>
          <w:rFonts w:hint="eastAsia" w:ascii="方正小标宋简体" w:eastAsia="方正小标宋简体"/>
        </w:rPr>
        <w:t>地理信息安全保密检查表</w:t>
      </w:r>
    </w:p>
    <w:tbl>
      <w:tblPr>
        <w:tblStyle w:val="46"/>
        <w:tblW w:w="14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707"/>
        <w:gridCol w:w="282"/>
        <w:gridCol w:w="1905"/>
        <w:gridCol w:w="5675"/>
        <w:gridCol w:w="1790"/>
        <w:gridCol w:w="707"/>
        <w:gridCol w:w="1129"/>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06" w:type="dxa"/>
            <w:gridSpan w:val="2"/>
            <w:vMerge w:val="restart"/>
            <w:vAlign w:val="center"/>
          </w:tcPr>
          <w:p>
            <w:pPr>
              <w:spacing w:line="240" w:lineRule="auto"/>
              <w:ind w:firstLine="402"/>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w:t>
            </w:r>
          </w:p>
        </w:tc>
        <w:tc>
          <w:tcPr>
            <w:tcW w:w="7862" w:type="dxa"/>
            <w:gridSpan w:val="3"/>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检查内容及要求</w:t>
            </w:r>
          </w:p>
        </w:tc>
        <w:tc>
          <w:tcPr>
            <w:tcW w:w="1790" w:type="dxa"/>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检查记录</w:t>
            </w:r>
          </w:p>
        </w:tc>
        <w:tc>
          <w:tcPr>
            <w:tcW w:w="2684" w:type="dxa"/>
            <w:gridSpan w:val="3"/>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806" w:type="dxa"/>
            <w:gridSpan w:val="2"/>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862" w:type="dxa"/>
            <w:gridSpan w:val="3"/>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1790" w:type="dxa"/>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07"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符合</w:t>
            </w:r>
          </w:p>
        </w:tc>
        <w:tc>
          <w:tcPr>
            <w:tcW w:w="112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基本符合</w:t>
            </w:r>
          </w:p>
        </w:tc>
        <w:tc>
          <w:tcPr>
            <w:tcW w:w="848"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1．测绘安全保障措施和管理</w:t>
            </w:r>
          </w:p>
        </w:tc>
        <w:tc>
          <w:tcPr>
            <w:tcW w:w="707"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1.1基本要求</w:t>
            </w: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1.测绘地理信息安全保密工作机构职责履行符合要求。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2.有保密责任书，有保密教育记录。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3.有保密自查记录。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4.有明确涉密测绘成果使用审批流程和责任人相关文件；有涉密测绘成果使用台账。</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5.有外业所用涉密计算机管理台帐。</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6.有对属于国家秘密的地理信息的获取、持有、提供、利用情况等登记台帐</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*7.有失泄密情况，有因失泄密隐患问题被公安、保密、安全、网安等部门处理情况等。</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1.2导航电子地图制作补充要求</w:t>
            </w: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8.涉密网络是否配备系统管理员、安全保密管理员和安全审计员。</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9.保密要害部门部位是否确定安全控制区域，采取电子监控、防盗报警等必要的安全防范措施。</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10.是否配置符合要求的安全保密专用产品，包括身份鉴别、访问控制、安全审计、保密技术防护（三合一）、漏洞扫描、计算机病毒查杀、边界安全防护和数据库安全等产品。</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rPr>
            </w:pPr>
            <w:r>
              <w:rPr>
                <w:rFonts w:hint="eastAsia" w:ascii="仿宋_GB2312" w:hAnsi="仿宋_GB2312" w:eastAsia="仿宋_GB2312" w:cs="仿宋_GB2312"/>
                <w:kern w:val="0"/>
                <w:sz w:val="20"/>
                <w:szCs w:val="20"/>
              </w:rPr>
              <w:t>11.软件开发是否在保密要害部门部位内进行。</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12.未经单位安全保密工作机构批准，单位内部涉密测绘成果不得采用移动存储介质进行交换，应基于涉密网络操作，并进行审计。</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13.涉密测绘成果对外提供应配置专人专机。专机需安装安全审计软件，进行实时审计。</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14.是否配置红黑电源。</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2894"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1.3互联网地图服务补充要求</w:t>
            </w:r>
          </w:p>
        </w:tc>
        <w:tc>
          <w:tcPr>
            <w:tcW w:w="5675" w:type="dxa"/>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*15.存放地图数据的服务器应设在中华人民共和国境内。</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3"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2.测绘成果和资料档案管理</w:t>
            </w:r>
          </w:p>
        </w:tc>
        <w:tc>
          <w:tcPr>
            <w:tcW w:w="989"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2.1机构人员</w:t>
            </w: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16.测绘成果和资料档案管理机构履行符合要求。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17.测绘成果和资料档案管理工作的主管领导、工作人员履行符合要求。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2.2管理制度</w:t>
            </w: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18.有测绘成果接收、整理、保管、使用、销毁等台账。</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19.有测绘成果和资料档案信息化管理相关记录。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20.有涉密成果资料泄密事件报告和补救相关记录。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2.3涉密测绘成果的保管和使用</w:t>
            </w: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21.涉密测绘成果是否专人管理。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22.是否在涉密成果保管、领用、接收、复制扫描、销毁各个环节建立登记台账，并定期清查、核对。</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*23.是否存在擅自复制扫描、转让或转借和私自留存涉密成果现象。</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*24.涉密成果复制扫描件和衍生品是否按规定标明密级和保密期限，按照涉密成果原密级进行管理。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*25.涉密成果是否仅限用于申请使用的目的或项目。</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26.是否在使用目的或项目完成后六个月内销毁。</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27.委托第三开发产品时，涉密成果资料或衍生产品回收后是否依法销毁；</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*28.是否存在未经批准，擅自向外国的组织或个人以及在我国注册的外商独资企业和中外合资、合作企业提供涉密成果资料的情况；</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29.公开使用的涉密测绘成果衍生产品是否经国家测绘地理信息局或省（区、市）测绘地理信息行政主管部门进行保密技术处理。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3.涉密场所软硬件建设及管理情况</w:t>
            </w: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*30.专门的测绘成果和资料档案库房安全措施是否符合要求。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31.绘成果和资料档案专用柜架、专用数据存储设备是否符合要求。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32.涉密成果资料保管、使用场所等确定为保密要害部门、部位是否按规定配备门禁或身份识别等保密防护设备。</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4.存储设备使用管理情况</w:t>
            </w: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33.涉密存储介质是否专人管理，是否建立台账。</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34.涉密设备与存储介质是否粘贴密级标识。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*35.涉密计算机、涉密存储介质是否接入互联网或其他公共信息网络。</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*36.涉密网络与互联网或其他公共信息网络之间是否实行物理隔离。</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37.涉密计算机外接端口是否封闭管理。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*38.涉密计算机未装有无线网卡、无线鼠标、无线键盘等具有无线功能的设备。</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*39.涉密计算机未与连接互联网的计算机交叉使用移动存储介质。</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40.各类涉密成果资料存储设备是否按规定使用和管理。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41.外业所用涉密计算机是否纳入涉密单机进行管理。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*42.是否使用非涉密计算机或非涉存储介质存储、处理涉密成果资料。</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43.涉密计算机、涉密办公设备、涉密移动存储介质维修、销毁是否符合保密要求。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5．涉密人员教育培训情况</w:t>
            </w: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44.涉密测绘成果使用、管理人员是否经过教育培训，其中重要涉密人员经省级以上测绘地理信息行政主管门岗位培训并通过考试，持证上岗。</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45.是否开展测绘地理信息成果保密形势和防范知识技能培训，新进职工必须培训后再上岗。</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46.单位是否定期进行保密教育和学习。</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99"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13043" w:type="dxa"/>
            <w:gridSpan w:val="8"/>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带“*”的检查内容评价采用符合、不符合两级评定，不带“*”的检查内容评价采用符合、基本符合、不符合三级评定。</w:t>
            </w:r>
          </w:p>
        </w:tc>
      </w:tr>
    </w:tbl>
    <w:p>
      <w:pPr>
        <w:spacing w:line="240" w:lineRule="auto"/>
        <w:ind w:firstLine="0" w:firstLineChars="0"/>
        <w:jc w:val="left"/>
        <w:rPr>
          <w:rFonts w:ascii="仿宋_GB2312" w:hAnsi="仿宋_GB2312" w:eastAsia="仿宋_GB2312" w:cs="仿宋_GB2312"/>
          <w:kern w:val="0"/>
          <w:sz w:val="20"/>
          <w:szCs w:val="20"/>
        </w:rPr>
      </w:pPr>
    </w:p>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检查者：                    日期：                                        复核者：                     日期：</w:t>
      </w:r>
    </w:p>
    <w:p>
      <w:pPr>
        <w:spacing w:line="240" w:lineRule="auto"/>
        <w:ind w:firstLine="0" w:firstLineChars="0"/>
        <w:jc w:val="left"/>
        <w:rPr>
          <w:rFonts w:ascii="黑体" w:hAnsi="黑体" w:eastAsia="黑体" w:cs="黑体"/>
          <w:sz w:val="30"/>
          <w:szCs w:val="30"/>
        </w:rPr>
      </w:pP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附表4</w:t>
      </w:r>
    </w:p>
    <w:p>
      <w:pPr>
        <w:spacing w:line="240" w:lineRule="auto"/>
        <w:ind w:firstLine="0" w:firstLineChars="0"/>
        <w:jc w:val="center"/>
        <w:rPr>
          <w:rFonts w:ascii="方正小标宋简体" w:eastAsia="方正小标宋简体"/>
        </w:rPr>
      </w:pPr>
      <w:r>
        <w:rPr>
          <w:rFonts w:hint="eastAsia" w:ascii="方正小标宋简体" w:eastAsia="方正小标宋简体"/>
        </w:rPr>
        <w:t>测绘安全生产检查表</w:t>
      </w:r>
    </w:p>
    <w:tbl>
      <w:tblPr>
        <w:tblStyle w:val="4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612"/>
        <w:gridCol w:w="7036"/>
        <w:gridCol w:w="1700"/>
        <w:gridCol w:w="709"/>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2712" w:type="dxa"/>
            <w:gridSpan w:val="2"/>
            <w:vMerge w:val="restart"/>
            <w:vAlign w:val="center"/>
          </w:tcPr>
          <w:p>
            <w:pPr>
              <w:spacing w:line="240" w:lineRule="auto"/>
              <w:ind w:firstLine="402"/>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w:t>
            </w:r>
          </w:p>
        </w:tc>
        <w:tc>
          <w:tcPr>
            <w:tcW w:w="7036" w:type="dxa"/>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检查内容及要求</w:t>
            </w:r>
          </w:p>
        </w:tc>
        <w:tc>
          <w:tcPr>
            <w:tcW w:w="1700" w:type="dxa"/>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检查记录</w:t>
            </w:r>
          </w:p>
        </w:tc>
        <w:tc>
          <w:tcPr>
            <w:tcW w:w="2694" w:type="dxa"/>
            <w:gridSpan w:val="3"/>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2712" w:type="dxa"/>
            <w:gridSpan w:val="2"/>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036" w:type="dxa"/>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1700" w:type="dxa"/>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0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符合</w:t>
            </w:r>
          </w:p>
        </w:tc>
        <w:tc>
          <w:tcPr>
            <w:tcW w:w="1134"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基本符合</w:t>
            </w:r>
          </w:p>
        </w:tc>
        <w:tc>
          <w:tcPr>
            <w:tcW w:w="851"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1.树立安全生产理念</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*1.单位负责人学习习近平总书记关于安全生产重要论述情况。</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*2.是否将学习贯彻习近平总书记关于安全生产重要论述纳入培训内容。</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2.落实安全生产主体责任</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*3.单位主要负责人作为安全生产第一责任人是否履职到位。</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4.是否实行全员安全生产责任制度，强化内设机构安全生产职责，按规定配齐安全生产管理人员。</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5.安全生产资金投入是否充足。</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3.建立健全安全生产管理制度</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6.是否建立完善安全生产管理制度。</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7.艰险地区、危险作业等专项安全技术作业规程和岗位安全操作规程是否完善。</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8.是否存在安全生产管理死角和盲区。</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4.抓好安全生产教育培训</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9.是否对各类人员进行安全生产教育和培训，定期组织开展应急演练。</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5"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10.工作人员是否熟悉野外作业地区各类风险和防范措施。</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00"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5．加强关键环节安全风险管理</w:t>
            </w: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5.1野外安全风险防范</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11.在进行外业工作前，是否对作业人员进行安全意识和安全技能培训，进行体检。</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12.通讯、急救等装备是否配备充足。</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13.是否制定安全应急预案。</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5.2</w:t>
            </w:r>
            <w:r>
              <w:rPr>
                <w:rFonts w:hint="eastAsia" w:ascii="仿宋_GB2312" w:hAnsi="仿宋_GB2312" w:eastAsia="仿宋_GB2312" w:cs="仿宋_GB2312"/>
                <w:kern w:val="0"/>
                <w:sz w:val="20"/>
              </w:rPr>
              <w:t>艰险地区作业安全管理</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*14.在冰川、冰湖、雪地、高原、沙漠、戈壁、沼泽、远海、放射性异常区、无人区等危险性较高的区域开展野外作业，是否配备北斗等卫星电话。</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15.新区域作业是否聘用当地向导，聘用资金是否有保障。</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*16.是否存在单人进行野外作业。</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17.野外工作期间，是否每日向单位报送安全情况。</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5.3</w:t>
            </w:r>
            <w:r>
              <w:rPr>
                <w:rFonts w:hint="eastAsia" w:ascii="仿宋_GB2312" w:hAnsi="仿宋_GB2312" w:eastAsia="仿宋_GB2312" w:cs="仿宋_GB2312"/>
                <w:kern w:val="0"/>
                <w:sz w:val="20"/>
              </w:rPr>
              <w:t>野外作业安全管理</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*18.野外临时驻地选址是否考虑防范暴雨、洪水、雪崩等自然灾害和饮水、动物侵袭风险。</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*19.地下管线测量是否防范有毒气体中毒、可燃气体爆炸及触电等风险。</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*20.无人机起飞前是否检查紧固各设备附件，无人机驾驶员是否依法取得驾驶资质。</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100"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5.4</w:t>
            </w:r>
            <w:r>
              <w:rPr>
                <w:rFonts w:hint="eastAsia" w:ascii="仿宋_GB2312" w:hAnsi="仿宋_GB2312" w:eastAsia="仿宋_GB2312" w:cs="仿宋_GB2312"/>
                <w:kern w:val="0"/>
                <w:sz w:val="20"/>
              </w:rPr>
              <w:t>野外交通安全管理</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21.是否规范野外用车管理，严格把关野外用车审批。</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22.出行前是否对驾驶员进行针对性的培训，对车辆状况进行检查。</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*23.是否存在疲劳驾驶。</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*24.无人区、高风险区域野外作业是否存在单车承担任务。</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5.5做好</w:t>
            </w:r>
            <w:r>
              <w:rPr>
                <w:rFonts w:hint="eastAsia" w:ascii="仿宋_GB2312" w:hAnsi="仿宋_GB2312" w:eastAsia="仿宋_GB2312" w:cs="仿宋_GB2312"/>
                <w:kern w:val="0"/>
                <w:sz w:val="20"/>
              </w:rPr>
              <w:t>野外通讯保障</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25.是否为野外作业人员、车辆、船舶和飞机配置北斗终端等报位设备。</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*26.在西部高原、无人区等通讯信号未覆盖地区，是否配备卫星电话。</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5.6确保</w:t>
            </w:r>
            <w:r>
              <w:rPr>
                <w:rFonts w:hint="eastAsia" w:ascii="仿宋_GB2312" w:hAnsi="仿宋_GB2312" w:eastAsia="仿宋_GB2312" w:cs="仿宋_GB2312"/>
                <w:kern w:val="0"/>
                <w:sz w:val="20"/>
              </w:rPr>
              <w:t>作业装备安全性能</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27.老旧作业装备检查维护是否到位，是否及时更新淘汰有安全隐患的老旧作业设备。</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28.采用新技术或者使用新设备开展野外作业，是否采取有效的安全防护措施。</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5.7做好</w:t>
            </w:r>
            <w:r>
              <w:rPr>
                <w:rFonts w:hint="eastAsia" w:ascii="仿宋_GB2312" w:hAnsi="仿宋_GB2312" w:eastAsia="仿宋_GB2312" w:cs="仿宋_GB2312"/>
                <w:kern w:val="0"/>
                <w:sz w:val="20"/>
              </w:rPr>
              <w:t>应急救援装备保障</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29.对于设有野外基地的，是否配备越野车等应急救援车辆、生命探测仪等搜救定位装备、便携式苏生器等防护装备、液压钳等救援设备。</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*30.发生紧急事件和安全事故时，是否依法及时向当地政府及应急管理、自然资源等主管部门报告并积极开展救援处置。</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100"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6.建立完善安全生产事故报告及处置办法，完善应急救援预</w:t>
            </w: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6.1建立完善安全生产事故报告及处置办法</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31.是否建立安全生产事故报告及处置办法。</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32.是否建立应急救援预案。</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6.2防控安全生产事故</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*33.是否发生安全生产事故。</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3"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*34.事故是否造成人员伤亡。</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6.3配合测绘行业安全检查</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*35.是否积极配合测绘行业安全检查。</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*36.是否存在隐瞒有关情况。</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6.4安全生产风险排查</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37.是否开展风险隐患排查，建立问题隐患和整改措施清单。</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38.是否明确整改时限及整改责任人。</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00" w:type="dxa"/>
            <w:vMerge w:val="restart"/>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7.开展自查自纠和问题隐患整改情况</w:t>
            </w: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7.1落实部、省、市安全生产检查问题整改</w:t>
            </w: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39.是否落实部、省、市安全生产检查问题整改问题。</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5"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40.整改问题是否到位。</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7.2自查自纠和问题隐患整改</w:t>
            </w: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41.是否开展自查自纠。</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42.是否对隐患问题进行整改。</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100" w:type="dxa"/>
            <w:vAlign w:val="center"/>
          </w:tcPr>
          <w:p>
            <w:pPr>
              <w:spacing w:line="240" w:lineRule="auto"/>
              <w:ind w:firstLine="0" w:firstLineChars="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13042" w:type="dxa"/>
            <w:gridSpan w:val="6"/>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带“*”的检查内容评价采用符合、不符合两级评定，不带“*”的检查内容评价采用符合、基本符合、不符合三级评定。</w:t>
            </w:r>
          </w:p>
        </w:tc>
      </w:tr>
    </w:tbl>
    <w:p>
      <w:pPr>
        <w:widowControl w:val="0"/>
        <w:spacing w:line="600" w:lineRule="exact"/>
        <w:ind w:firstLine="400"/>
        <w:rPr>
          <w:rFonts w:ascii="仿宋_GB2312" w:hAnsi="仿宋_GB2312" w:eastAsia="仿宋_GB2312" w:cs="仿宋_GB2312"/>
        </w:rPr>
      </w:pPr>
      <w:r>
        <w:rPr>
          <w:rFonts w:hint="eastAsia" w:ascii="仿宋_GB2312" w:hAnsi="仿宋_GB2312" w:eastAsia="仿宋_GB2312" w:cs="仿宋_GB2312"/>
          <w:kern w:val="0"/>
          <w:sz w:val="20"/>
          <w:szCs w:val="20"/>
        </w:rPr>
        <w:t>检查者：                    日期：                                        复核者：                     日期：</w:t>
      </w:r>
    </w:p>
    <w:p>
      <w:pPr>
        <w:spacing w:line="572" w:lineRule="exact"/>
        <w:ind w:firstLine="640"/>
        <w:outlineLvl w:val="0"/>
        <w:rPr>
          <w:rFonts w:ascii="仿宋_GB2312" w:hAnsi="宋体" w:eastAsia="仿宋_GB2312" w:cs="Times New Roman"/>
        </w:rPr>
      </w:pPr>
      <w:r>
        <w:rPr>
          <w:rFonts w:hint="eastAsia" w:ascii="黑体" w:hAnsi="黑体" w:eastAsia="黑体" w:cs="黑体"/>
        </w:rPr>
        <w:t>附件5</w:t>
      </w:r>
    </w:p>
    <w:p>
      <w:pPr>
        <w:spacing w:line="572" w:lineRule="exact"/>
        <w:ind w:right="38" w:rightChars="12" w:firstLine="640"/>
        <w:jc w:val="center"/>
        <w:rPr>
          <w:rFonts w:ascii="黑体" w:hAnsi="仿宋" w:eastAsia="黑体"/>
          <w:bCs/>
        </w:rPr>
      </w:pPr>
      <w:r>
        <w:rPr>
          <w:rFonts w:hint="eastAsia" w:ascii="黑体" w:hAnsi="仿宋" w:eastAsia="黑体"/>
          <w:bCs/>
        </w:rPr>
        <w:t>2022年1月至2023年12月测绘项目汇总表</w:t>
      </w:r>
    </w:p>
    <w:p>
      <w:pPr>
        <w:spacing w:line="572" w:lineRule="exact"/>
        <w:ind w:right="38" w:rightChars="12" w:firstLine="600"/>
        <w:rPr>
          <w:rFonts w:ascii="仿宋_GB2312" w:hAnsi="仿宋" w:eastAsia="仿宋_GB2312"/>
          <w:bCs/>
          <w:sz w:val="30"/>
          <w:szCs w:val="30"/>
        </w:rPr>
      </w:pPr>
      <w:r>
        <w:rPr>
          <w:rFonts w:hint="eastAsia" w:ascii="仿宋_GB2312" w:hAnsi="仿宋" w:eastAsia="仿宋_GB2312"/>
          <w:bCs/>
          <w:sz w:val="30"/>
          <w:szCs w:val="30"/>
        </w:rPr>
        <w:t>填报单位：                                              填表日期：</w:t>
      </w:r>
    </w:p>
    <w:tbl>
      <w:tblPr>
        <w:tblStyle w:val="45"/>
        <w:tblW w:w="13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725"/>
        <w:gridCol w:w="1763"/>
        <w:gridCol w:w="1307"/>
        <w:gridCol w:w="1609"/>
        <w:gridCol w:w="2664"/>
        <w:gridCol w:w="2065"/>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spacing w:line="572" w:lineRule="exact"/>
              <w:ind w:right="38" w:rightChars="12" w:firstLine="0" w:firstLineChars="0"/>
              <w:rPr>
                <w:rFonts w:ascii="仿宋_GB2312" w:hAnsi="仿宋" w:eastAsia="仿宋_GB2312"/>
                <w:b/>
                <w:bCs/>
                <w:sz w:val="30"/>
                <w:szCs w:val="30"/>
              </w:rPr>
            </w:pPr>
            <w:r>
              <w:rPr>
                <w:rFonts w:hint="eastAsia" w:ascii="仿宋_GB2312" w:hAnsi="仿宋" w:eastAsia="仿宋_GB2312"/>
                <w:b/>
                <w:bCs/>
                <w:sz w:val="30"/>
                <w:szCs w:val="30"/>
              </w:rPr>
              <w:t>序号</w:t>
            </w:r>
          </w:p>
        </w:tc>
        <w:tc>
          <w:tcPr>
            <w:tcW w:w="2725" w:type="dxa"/>
            <w:tcBorders>
              <w:top w:val="single" w:color="auto" w:sz="4" w:space="0"/>
              <w:left w:val="single" w:color="auto" w:sz="4" w:space="0"/>
              <w:bottom w:val="single" w:color="auto" w:sz="4" w:space="0"/>
              <w:right w:val="single" w:color="auto" w:sz="4" w:space="0"/>
            </w:tcBorders>
            <w:vAlign w:val="center"/>
          </w:tcPr>
          <w:p>
            <w:pPr>
              <w:spacing w:line="572" w:lineRule="exact"/>
              <w:ind w:right="38" w:rightChars="12" w:firstLine="0" w:firstLineChars="0"/>
              <w:rPr>
                <w:rFonts w:ascii="仿宋_GB2312" w:hAnsi="仿宋" w:eastAsia="仿宋_GB2312"/>
                <w:b/>
                <w:bCs/>
                <w:sz w:val="30"/>
                <w:szCs w:val="30"/>
              </w:rPr>
            </w:pPr>
            <w:r>
              <w:rPr>
                <w:rFonts w:hint="eastAsia" w:ascii="仿宋_GB2312" w:hAnsi="仿宋" w:eastAsia="仿宋_GB2312"/>
                <w:b/>
                <w:bCs/>
                <w:sz w:val="30"/>
                <w:szCs w:val="30"/>
              </w:rPr>
              <w:t>项目名称</w:t>
            </w:r>
          </w:p>
        </w:tc>
        <w:tc>
          <w:tcPr>
            <w:tcW w:w="1763" w:type="dxa"/>
            <w:tcBorders>
              <w:top w:val="single" w:color="auto" w:sz="4" w:space="0"/>
              <w:left w:val="single" w:color="auto" w:sz="4" w:space="0"/>
              <w:bottom w:val="single" w:color="auto" w:sz="4" w:space="0"/>
              <w:right w:val="single" w:color="auto" w:sz="4" w:space="0"/>
            </w:tcBorders>
            <w:vAlign w:val="center"/>
          </w:tcPr>
          <w:p>
            <w:pPr>
              <w:spacing w:line="572" w:lineRule="exact"/>
              <w:ind w:right="38" w:rightChars="12" w:firstLine="0" w:firstLineChars="0"/>
              <w:rPr>
                <w:rFonts w:ascii="仿宋_GB2312" w:hAnsi="仿宋" w:eastAsia="仿宋_GB2312"/>
                <w:b/>
                <w:bCs/>
                <w:sz w:val="30"/>
                <w:szCs w:val="30"/>
              </w:rPr>
            </w:pPr>
            <w:r>
              <w:rPr>
                <w:rFonts w:hint="eastAsia" w:ascii="仿宋_GB2312" w:hAnsi="仿宋" w:eastAsia="仿宋_GB2312"/>
                <w:b/>
                <w:bCs/>
                <w:sz w:val="30"/>
                <w:szCs w:val="30"/>
              </w:rPr>
              <w:t>项目类型</w:t>
            </w:r>
          </w:p>
        </w:tc>
        <w:tc>
          <w:tcPr>
            <w:tcW w:w="1307" w:type="dxa"/>
            <w:tcBorders>
              <w:top w:val="single" w:color="auto" w:sz="4" w:space="0"/>
              <w:left w:val="single" w:color="auto" w:sz="4" w:space="0"/>
              <w:bottom w:val="single" w:color="auto" w:sz="4" w:space="0"/>
              <w:right w:val="single" w:color="auto" w:sz="4" w:space="0"/>
            </w:tcBorders>
            <w:vAlign w:val="center"/>
          </w:tcPr>
          <w:p>
            <w:pPr>
              <w:spacing w:line="572" w:lineRule="exact"/>
              <w:ind w:right="38" w:rightChars="12" w:firstLine="0" w:firstLineChars="0"/>
              <w:rPr>
                <w:rFonts w:ascii="仿宋_GB2312" w:hAnsi="仿宋" w:eastAsia="仿宋_GB2312"/>
                <w:b/>
                <w:bCs/>
                <w:sz w:val="30"/>
                <w:szCs w:val="30"/>
              </w:rPr>
            </w:pPr>
            <w:r>
              <w:rPr>
                <w:rFonts w:hint="eastAsia" w:ascii="仿宋_GB2312" w:hAnsi="仿宋" w:eastAsia="仿宋_GB2312"/>
                <w:b/>
                <w:bCs/>
                <w:sz w:val="30"/>
                <w:szCs w:val="30"/>
              </w:rPr>
              <w:t>比例尺</w:t>
            </w:r>
          </w:p>
        </w:tc>
        <w:tc>
          <w:tcPr>
            <w:tcW w:w="1609" w:type="dxa"/>
            <w:tcBorders>
              <w:top w:val="single" w:color="auto" w:sz="4" w:space="0"/>
              <w:left w:val="single" w:color="auto" w:sz="4" w:space="0"/>
              <w:bottom w:val="single" w:color="auto" w:sz="4" w:space="0"/>
              <w:right w:val="single" w:color="auto" w:sz="4" w:space="0"/>
            </w:tcBorders>
            <w:vAlign w:val="center"/>
          </w:tcPr>
          <w:p>
            <w:pPr>
              <w:spacing w:line="572" w:lineRule="exact"/>
              <w:ind w:right="38" w:rightChars="12" w:firstLine="0" w:firstLineChars="0"/>
              <w:rPr>
                <w:rFonts w:ascii="仿宋_GB2312" w:hAnsi="仿宋" w:eastAsia="仿宋_GB2312"/>
                <w:b/>
                <w:bCs/>
                <w:sz w:val="30"/>
                <w:szCs w:val="30"/>
              </w:rPr>
            </w:pPr>
            <w:r>
              <w:rPr>
                <w:rFonts w:hint="eastAsia" w:ascii="仿宋_GB2312" w:hAnsi="仿宋" w:eastAsia="仿宋_GB2312"/>
                <w:b/>
                <w:bCs/>
                <w:sz w:val="30"/>
                <w:szCs w:val="30"/>
              </w:rPr>
              <w:t>完成时间</w:t>
            </w:r>
          </w:p>
        </w:tc>
        <w:tc>
          <w:tcPr>
            <w:tcW w:w="2664" w:type="dxa"/>
            <w:tcBorders>
              <w:top w:val="single" w:color="auto" w:sz="4" w:space="0"/>
              <w:left w:val="single" w:color="auto" w:sz="4" w:space="0"/>
              <w:bottom w:val="single" w:color="auto" w:sz="4" w:space="0"/>
              <w:right w:val="single" w:color="auto" w:sz="4" w:space="0"/>
            </w:tcBorders>
            <w:vAlign w:val="center"/>
          </w:tcPr>
          <w:p>
            <w:pPr>
              <w:spacing w:line="572" w:lineRule="exact"/>
              <w:ind w:right="38" w:rightChars="12" w:firstLine="0" w:firstLineChars="0"/>
              <w:rPr>
                <w:rFonts w:ascii="仿宋_GB2312" w:hAnsi="仿宋" w:eastAsia="仿宋_GB2312"/>
                <w:b/>
                <w:bCs/>
                <w:sz w:val="30"/>
                <w:szCs w:val="30"/>
              </w:rPr>
            </w:pPr>
            <w:r>
              <w:rPr>
                <w:rFonts w:hint="eastAsia" w:ascii="仿宋_GB2312" w:hAnsi="仿宋" w:eastAsia="仿宋_GB2312"/>
                <w:b/>
                <w:bCs/>
                <w:sz w:val="30"/>
                <w:szCs w:val="30"/>
              </w:rPr>
              <w:t>面积（平方千米）</w:t>
            </w:r>
          </w:p>
        </w:tc>
        <w:tc>
          <w:tcPr>
            <w:tcW w:w="2065" w:type="dxa"/>
            <w:tcBorders>
              <w:top w:val="single" w:color="auto" w:sz="4" w:space="0"/>
              <w:left w:val="single" w:color="auto" w:sz="4" w:space="0"/>
              <w:bottom w:val="single" w:color="auto" w:sz="4" w:space="0"/>
              <w:right w:val="single" w:color="auto" w:sz="4" w:space="0"/>
            </w:tcBorders>
            <w:vAlign w:val="center"/>
          </w:tcPr>
          <w:p>
            <w:pPr>
              <w:spacing w:line="572" w:lineRule="exact"/>
              <w:ind w:right="38" w:rightChars="12" w:firstLine="0" w:firstLineChars="0"/>
              <w:rPr>
                <w:rFonts w:ascii="仿宋_GB2312" w:hAnsi="仿宋" w:eastAsia="仿宋_GB2312"/>
                <w:b/>
                <w:bCs/>
                <w:sz w:val="30"/>
                <w:szCs w:val="30"/>
              </w:rPr>
            </w:pPr>
            <w:r>
              <w:rPr>
                <w:rFonts w:hint="eastAsia" w:ascii="仿宋_GB2312" w:hAnsi="仿宋" w:eastAsia="仿宋_GB2312"/>
                <w:b/>
                <w:bCs/>
                <w:sz w:val="30"/>
                <w:szCs w:val="30"/>
              </w:rPr>
              <w:t>产值（万元）</w:t>
            </w:r>
          </w:p>
        </w:tc>
        <w:tc>
          <w:tcPr>
            <w:tcW w:w="857" w:type="dxa"/>
            <w:tcBorders>
              <w:top w:val="single" w:color="auto" w:sz="4" w:space="0"/>
              <w:left w:val="single" w:color="auto" w:sz="4" w:space="0"/>
              <w:bottom w:val="single" w:color="auto" w:sz="4" w:space="0"/>
              <w:right w:val="single" w:color="auto" w:sz="4" w:space="0"/>
            </w:tcBorders>
            <w:vAlign w:val="center"/>
          </w:tcPr>
          <w:p>
            <w:pPr>
              <w:spacing w:line="572" w:lineRule="exact"/>
              <w:ind w:right="38" w:rightChars="12" w:firstLine="0" w:firstLineChars="0"/>
              <w:rPr>
                <w:rFonts w:ascii="仿宋_GB2312" w:hAnsi="仿宋" w:eastAsia="仿宋_GB2312"/>
                <w:b/>
                <w:bCs/>
                <w:sz w:val="30"/>
                <w:szCs w:val="30"/>
              </w:rPr>
            </w:pPr>
            <w:r>
              <w:rPr>
                <w:rFonts w:hint="eastAsia" w:ascii="仿宋_GB2312" w:hAnsi="仿宋" w:eastAsia="仿宋_GB2312"/>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2725"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1763"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1307"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1609"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2664"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2065"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857"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2725"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1763"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1307"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1609"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2664"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2065"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857"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4"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2725"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1763"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1307"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1609"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2664"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2065"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c>
          <w:tcPr>
            <w:tcW w:w="857" w:type="dxa"/>
            <w:tcBorders>
              <w:top w:val="single" w:color="auto" w:sz="4" w:space="0"/>
              <w:left w:val="single" w:color="auto" w:sz="4" w:space="0"/>
              <w:bottom w:val="single" w:color="auto" w:sz="4" w:space="0"/>
              <w:right w:val="single" w:color="auto" w:sz="4" w:space="0"/>
            </w:tcBorders>
          </w:tcPr>
          <w:p>
            <w:pPr>
              <w:spacing w:line="572" w:lineRule="exact"/>
              <w:ind w:right="38" w:rightChars="12" w:firstLine="600"/>
              <w:jc w:val="center"/>
              <w:rPr>
                <w:rFonts w:ascii="仿宋_GB2312" w:hAnsi="仿宋" w:eastAsia="仿宋_GB2312"/>
                <w:bCs/>
                <w:sz w:val="30"/>
                <w:szCs w:val="30"/>
              </w:rPr>
            </w:pPr>
          </w:p>
        </w:tc>
      </w:tr>
    </w:tbl>
    <w:p>
      <w:pPr>
        <w:spacing w:line="572" w:lineRule="exact"/>
        <w:ind w:right="38" w:rightChars="12" w:firstLine="600"/>
        <w:rPr>
          <w:rFonts w:ascii="仿宋_GB2312" w:hAnsi="仿宋" w:eastAsia="仿宋_GB2312"/>
          <w:bCs/>
          <w:sz w:val="30"/>
          <w:szCs w:val="30"/>
        </w:rPr>
      </w:pPr>
      <w:r>
        <w:rPr>
          <w:rFonts w:hint="eastAsia" w:ascii="仿宋_GB2312" w:hAnsi="仿宋" w:eastAsia="仿宋_GB2312"/>
          <w:bCs/>
          <w:sz w:val="30"/>
          <w:szCs w:val="30"/>
        </w:rPr>
        <w:t>联系人：            联系电话：              传真：                 邮箱：</w:t>
      </w:r>
    </w:p>
    <w:p>
      <w:pPr>
        <w:spacing w:line="572" w:lineRule="exact"/>
        <w:ind w:right="38" w:rightChars="12" w:firstLine="600"/>
        <w:rPr>
          <w:rFonts w:ascii="仿宋_GB2312" w:hAnsi="仿宋" w:eastAsia="仿宋_GB2312"/>
          <w:bCs/>
          <w:sz w:val="30"/>
          <w:szCs w:val="30"/>
        </w:rPr>
      </w:pPr>
    </w:p>
    <w:p>
      <w:pPr>
        <w:widowControl w:val="0"/>
        <w:spacing w:line="600" w:lineRule="exact"/>
        <w:ind w:firstLine="600"/>
        <w:rPr>
          <w:rFonts w:ascii="仿宋_GB2312" w:hAnsi="仿宋_GB2312" w:eastAsia="仿宋_GB2312" w:cs="仿宋_GB2312"/>
        </w:rPr>
      </w:pPr>
      <w:r>
        <w:rPr>
          <w:rFonts w:hint="eastAsia" w:ascii="仿宋_GB2312" w:hAnsi="仿宋" w:eastAsia="仿宋_GB2312"/>
          <w:bCs/>
          <w:sz w:val="30"/>
          <w:szCs w:val="30"/>
        </w:rPr>
        <w:t>项目类型系指：大地测量、测绘航空摄影、摄影测量与遥感、地理信息系统工程、工程测量、不动产测绘、海洋测绘、地图编制、导航电子地图制作、互联网地图服务。</w:t>
      </w:r>
    </w:p>
    <w:sectPr>
      <w:footerReference r:id="rId10" w:type="default"/>
      <w:pgSz w:w="16840" w:h="11907" w:orient="landscape"/>
      <w:pgMar w:top="964" w:right="1531" w:bottom="964" w:left="1531" w:header="737" w:footer="1247"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Calibri">
    <w:altName w:val="Lucida Sans"/>
    <w:panose1 w:val="020F0502020204030204"/>
    <w:charset w:val="00"/>
    <w:family w:val="decorative"/>
    <w:pitch w:val="default"/>
    <w:sig w:usb0="00000000" w:usb1="00000000" w:usb2="00000009" w:usb3="00000000" w:csb0="000001FF" w:csb1="00000000"/>
  </w:font>
  <w:font w:name="仿宋">
    <w:altName w:val="仿宋_GB2312"/>
    <w:panose1 w:val="02010609060101010101"/>
    <w:charset w:val="86"/>
    <w:family w:val="swiss"/>
    <w:pitch w:val="default"/>
    <w:sig w:usb0="00000000" w:usb1="00000000" w:usb2="00000016" w:usb3="00000000" w:csb0="00040001" w:csb1="00000000"/>
  </w:font>
  <w:font w:name="黑体">
    <w:panose1 w:val="02010600030101010101"/>
    <w:charset w:val="86"/>
    <w:family w:val="auto"/>
    <w:pitch w:val="default"/>
    <w:sig w:usb0="00000001" w:usb1="080E0000" w:usb2="00000000" w:usb3="00000000" w:csb0="00040000" w:csb1="00000000"/>
  </w:font>
  <w:font w:name="方正黑体_GBK">
    <w:altName w:val="方正楷体简体"/>
    <w:panose1 w:val="00000000000000000000"/>
    <w:charset w:val="86"/>
    <w:family w:val="auto"/>
    <w:pitch w:val="default"/>
    <w:sig w:usb0="00000000" w:usb1="0000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方正楷体_GBK">
    <w:altName w:val="方正楷体简体"/>
    <w:panose1 w:val="00000000000000000000"/>
    <w:charset w:val="86"/>
    <w:family w:val="auto"/>
    <w:pitch w:val="default"/>
    <w:sig w:usb0="00000000" w:usb1="0000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decorative"/>
    <w:pitch w:val="default"/>
    <w:sig w:usb0="61007A87" w:usb1="80000000" w:usb2="00000008" w:usb3="00000000" w:csb0="200101FF" w:csb1="20280000"/>
  </w:font>
  <w:font w:name="Verdana">
    <w:panose1 w:val="020B0604030504040204"/>
    <w:charset w:val="00"/>
    <w:family w:val="decorative"/>
    <w:pitch w:val="default"/>
    <w:sig w:usb0="00000287" w:usb1="00000000" w:usb2="00000000" w:usb3="00000000" w:csb0="2000019F" w:csb1="00000000"/>
  </w:font>
  <w:font w:name="Cambria">
    <w:altName w:val="Palatino Linotype"/>
    <w:panose1 w:val="02040503050406030204"/>
    <w:charset w:val="00"/>
    <w:family w:val="modern"/>
    <w:pitch w:val="default"/>
    <w:sig w:usb0="00000000" w:usb1="00000000" w:usb2="02000000" w:usb3="00000000" w:csb0="0000019F" w:csb1="00000000"/>
  </w:font>
  <w:font w:name="MS Mincho">
    <w:altName w:val="MS UI Gothic"/>
    <w:panose1 w:val="02020609040205080304"/>
    <w:charset w:val="80"/>
    <w:family w:val="modern"/>
    <w:pitch w:val="default"/>
    <w:sig w:usb0="00000000" w:usb1="00000000" w:usb2="00000010" w:usb3="00000000" w:csb0="00020000" w:csb1="00000000"/>
  </w:font>
  <w:font w:name="楷体_GB2312">
    <w:panose1 w:val="02010609030101010101"/>
    <w:charset w:val="86"/>
    <w:family w:val="swiss"/>
    <w:pitch w:val="default"/>
    <w:sig w:usb0="00000001" w:usb1="080E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华文隶书">
    <w:altName w:val="宋体"/>
    <w:panose1 w:val="02010800040101010101"/>
    <w:charset w:val="86"/>
    <w:family w:val="auto"/>
    <w:pitch w:val="default"/>
    <w:sig w:usb0="00000000" w:usb1="00000000" w:usb2="00000010" w:usb3="00000000" w:csb0="00040000" w:csb1="00000000"/>
  </w:font>
  <w:font w:name="Lucida Sans">
    <w:panose1 w:val="020B0602030504020204"/>
    <w:charset w:val="00"/>
    <w:family w:val="decorative"/>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MS UI Gothic">
    <w:panose1 w:val="020B0600070205080204"/>
    <w:charset w:val="0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141"/>
    </w:sdtPr>
    <w:sdtContent>
      <w:p>
        <w:pPr>
          <w:pStyle w:val="24"/>
          <w:ind w:firstLine="360"/>
          <w:jc w:val="center"/>
        </w:pPr>
        <w:r>
          <w:fldChar w:fldCharType="begin"/>
        </w:r>
        <w:r>
          <w:instrText xml:space="preserve"> PAGE   \* MERGEFORMAT </w:instrText>
        </w:r>
        <w:r>
          <w:fldChar w:fldCharType="separate"/>
        </w:r>
        <w:r>
          <w:rPr>
            <w:lang w:val="zh-CN"/>
          </w:rPr>
          <w:t>-</w:t>
        </w:r>
        <w:r>
          <w:t xml:space="preserve"> 7 -</w:t>
        </w:r>
        <w:r>
          <w:fldChar w:fldCharType="end"/>
        </w:r>
      </w:p>
    </w:sdtContent>
  </w:sdt>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4"/>
      <w:ind w:firstLine="360"/>
      <w:rPr>
        <w:rStyle w:val="40"/>
      </w:rPr>
    </w:pPr>
    <w:r>
      <w:fldChar w:fldCharType="begin"/>
    </w:r>
    <w:r>
      <w:rPr>
        <w:rStyle w:val="40"/>
      </w:rPr>
      <w:instrText xml:space="preserve">PAGE  </w:instrText>
    </w:r>
    <w:r>
      <w:fldChar w:fldCharType="separate"/>
    </w:r>
    <w:r>
      <w:rPr>
        <w:rStyle w:val="40"/>
      </w:rPr>
      <w:t>- 2 -</w:t>
    </w:r>
    <w:r>
      <w:fldChar w:fldCharType="end"/>
    </w:r>
  </w:p>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jZWU4NmFmNGFiMDQ0YzkyZTdiOWI3MmJlZDg5Y2UifQ=="/>
  </w:docVars>
  <w:rsids>
    <w:rsidRoot w:val="003E0F52"/>
    <w:rsid w:val="00001326"/>
    <w:rsid w:val="00004889"/>
    <w:rsid w:val="00015592"/>
    <w:rsid w:val="00017588"/>
    <w:rsid w:val="000241F2"/>
    <w:rsid w:val="0002445F"/>
    <w:rsid w:val="000266A8"/>
    <w:rsid w:val="00027477"/>
    <w:rsid w:val="000310BB"/>
    <w:rsid w:val="0003369A"/>
    <w:rsid w:val="00034178"/>
    <w:rsid w:val="00035F08"/>
    <w:rsid w:val="00044C28"/>
    <w:rsid w:val="00044DAE"/>
    <w:rsid w:val="00044EF6"/>
    <w:rsid w:val="000478B9"/>
    <w:rsid w:val="00053617"/>
    <w:rsid w:val="000616C2"/>
    <w:rsid w:val="00062249"/>
    <w:rsid w:val="00062951"/>
    <w:rsid w:val="000669C3"/>
    <w:rsid w:val="00067D87"/>
    <w:rsid w:val="00070C71"/>
    <w:rsid w:val="000717F7"/>
    <w:rsid w:val="00071D9C"/>
    <w:rsid w:val="00076832"/>
    <w:rsid w:val="0008251E"/>
    <w:rsid w:val="00095D5C"/>
    <w:rsid w:val="00096CFE"/>
    <w:rsid w:val="000C1AEC"/>
    <w:rsid w:val="000C4879"/>
    <w:rsid w:val="000C502C"/>
    <w:rsid w:val="000C7966"/>
    <w:rsid w:val="000D0776"/>
    <w:rsid w:val="000D4EAB"/>
    <w:rsid w:val="00103A5A"/>
    <w:rsid w:val="00104728"/>
    <w:rsid w:val="0010597A"/>
    <w:rsid w:val="001066B2"/>
    <w:rsid w:val="0011240A"/>
    <w:rsid w:val="00115F47"/>
    <w:rsid w:val="00116007"/>
    <w:rsid w:val="00116736"/>
    <w:rsid w:val="001230B7"/>
    <w:rsid w:val="00126149"/>
    <w:rsid w:val="00126E09"/>
    <w:rsid w:val="00130323"/>
    <w:rsid w:val="00131DCA"/>
    <w:rsid w:val="00132828"/>
    <w:rsid w:val="00134964"/>
    <w:rsid w:val="00134EB3"/>
    <w:rsid w:val="00136932"/>
    <w:rsid w:val="0014575F"/>
    <w:rsid w:val="00147519"/>
    <w:rsid w:val="00150DA6"/>
    <w:rsid w:val="00162884"/>
    <w:rsid w:val="00167F62"/>
    <w:rsid w:val="0017598F"/>
    <w:rsid w:val="00181640"/>
    <w:rsid w:val="0018315E"/>
    <w:rsid w:val="001858CB"/>
    <w:rsid w:val="00186894"/>
    <w:rsid w:val="00193A5C"/>
    <w:rsid w:val="00194D43"/>
    <w:rsid w:val="00196059"/>
    <w:rsid w:val="001A374B"/>
    <w:rsid w:val="001A3C02"/>
    <w:rsid w:val="001C24DA"/>
    <w:rsid w:val="001C7738"/>
    <w:rsid w:val="001D05AE"/>
    <w:rsid w:val="001D6E1B"/>
    <w:rsid w:val="001E0DA3"/>
    <w:rsid w:val="001E7AA1"/>
    <w:rsid w:val="001F0680"/>
    <w:rsid w:val="001F21E5"/>
    <w:rsid w:val="001F2718"/>
    <w:rsid w:val="001F3667"/>
    <w:rsid w:val="00205513"/>
    <w:rsid w:val="0021026F"/>
    <w:rsid w:val="002162D5"/>
    <w:rsid w:val="0022223E"/>
    <w:rsid w:val="002323FA"/>
    <w:rsid w:val="00250D46"/>
    <w:rsid w:val="00254A40"/>
    <w:rsid w:val="00263F2F"/>
    <w:rsid w:val="002651B8"/>
    <w:rsid w:val="0026528A"/>
    <w:rsid w:val="00265D45"/>
    <w:rsid w:val="00272E37"/>
    <w:rsid w:val="00273539"/>
    <w:rsid w:val="0027427E"/>
    <w:rsid w:val="00282F09"/>
    <w:rsid w:val="00287BDD"/>
    <w:rsid w:val="00293BA9"/>
    <w:rsid w:val="00294852"/>
    <w:rsid w:val="002A0BB8"/>
    <w:rsid w:val="002A145B"/>
    <w:rsid w:val="002A3B36"/>
    <w:rsid w:val="002A4881"/>
    <w:rsid w:val="002C4612"/>
    <w:rsid w:val="002D5F17"/>
    <w:rsid w:val="002D6505"/>
    <w:rsid w:val="002D6EAC"/>
    <w:rsid w:val="002E3645"/>
    <w:rsid w:val="002F07F4"/>
    <w:rsid w:val="00315423"/>
    <w:rsid w:val="00320036"/>
    <w:rsid w:val="00321190"/>
    <w:rsid w:val="00322246"/>
    <w:rsid w:val="0032226D"/>
    <w:rsid w:val="0032281D"/>
    <w:rsid w:val="00344E92"/>
    <w:rsid w:val="00350265"/>
    <w:rsid w:val="0037177B"/>
    <w:rsid w:val="00375F6A"/>
    <w:rsid w:val="003774BA"/>
    <w:rsid w:val="00380E2B"/>
    <w:rsid w:val="00383A7F"/>
    <w:rsid w:val="0038610A"/>
    <w:rsid w:val="00390346"/>
    <w:rsid w:val="0039638C"/>
    <w:rsid w:val="003970B6"/>
    <w:rsid w:val="003A7AE8"/>
    <w:rsid w:val="003B04EC"/>
    <w:rsid w:val="003B18D5"/>
    <w:rsid w:val="003B587B"/>
    <w:rsid w:val="003B7939"/>
    <w:rsid w:val="003C27B5"/>
    <w:rsid w:val="003C3A04"/>
    <w:rsid w:val="003D7BB8"/>
    <w:rsid w:val="003E0F52"/>
    <w:rsid w:val="003E1C3B"/>
    <w:rsid w:val="003E5444"/>
    <w:rsid w:val="003F48CF"/>
    <w:rsid w:val="00402C72"/>
    <w:rsid w:val="00403B33"/>
    <w:rsid w:val="00404C83"/>
    <w:rsid w:val="004068D3"/>
    <w:rsid w:val="00406B44"/>
    <w:rsid w:val="00406E88"/>
    <w:rsid w:val="004149B2"/>
    <w:rsid w:val="00420616"/>
    <w:rsid w:val="0042395E"/>
    <w:rsid w:val="00426A49"/>
    <w:rsid w:val="00427310"/>
    <w:rsid w:val="00430C84"/>
    <w:rsid w:val="0043246E"/>
    <w:rsid w:val="00440A30"/>
    <w:rsid w:val="00440D94"/>
    <w:rsid w:val="00442053"/>
    <w:rsid w:val="00454AA1"/>
    <w:rsid w:val="00455E9D"/>
    <w:rsid w:val="00456B77"/>
    <w:rsid w:val="00460D2D"/>
    <w:rsid w:val="004610A7"/>
    <w:rsid w:val="00464443"/>
    <w:rsid w:val="00467182"/>
    <w:rsid w:val="004708B4"/>
    <w:rsid w:val="00475CBA"/>
    <w:rsid w:val="0048201C"/>
    <w:rsid w:val="004826B7"/>
    <w:rsid w:val="004919A5"/>
    <w:rsid w:val="004A28B8"/>
    <w:rsid w:val="004A2BC3"/>
    <w:rsid w:val="004A4CAB"/>
    <w:rsid w:val="004B08FC"/>
    <w:rsid w:val="004B2BBE"/>
    <w:rsid w:val="004B7016"/>
    <w:rsid w:val="004C05E3"/>
    <w:rsid w:val="004C53FF"/>
    <w:rsid w:val="004D0A71"/>
    <w:rsid w:val="004D3369"/>
    <w:rsid w:val="004D5788"/>
    <w:rsid w:val="004D7F1C"/>
    <w:rsid w:val="004E59AE"/>
    <w:rsid w:val="004E7475"/>
    <w:rsid w:val="004F044D"/>
    <w:rsid w:val="004F141B"/>
    <w:rsid w:val="004F3373"/>
    <w:rsid w:val="005040A0"/>
    <w:rsid w:val="00507378"/>
    <w:rsid w:val="005134A9"/>
    <w:rsid w:val="00521E28"/>
    <w:rsid w:val="00523A43"/>
    <w:rsid w:val="00523C6E"/>
    <w:rsid w:val="005279BC"/>
    <w:rsid w:val="005342AC"/>
    <w:rsid w:val="0053431C"/>
    <w:rsid w:val="00534984"/>
    <w:rsid w:val="0053614A"/>
    <w:rsid w:val="005416D4"/>
    <w:rsid w:val="005509F3"/>
    <w:rsid w:val="00556506"/>
    <w:rsid w:val="00560ECE"/>
    <w:rsid w:val="00561D85"/>
    <w:rsid w:val="0056219F"/>
    <w:rsid w:val="00563FB5"/>
    <w:rsid w:val="00564AA0"/>
    <w:rsid w:val="00572FD6"/>
    <w:rsid w:val="00581191"/>
    <w:rsid w:val="00582A86"/>
    <w:rsid w:val="005841AE"/>
    <w:rsid w:val="00593437"/>
    <w:rsid w:val="005A1ED5"/>
    <w:rsid w:val="005A5BB0"/>
    <w:rsid w:val="005B4C5F"/>
    <w:rsid w:val="005B7399"/>
    <w:rsid w:val="005B7497"/>
    <w:rsid w:val="005C0A00"/>
    <w:rsid w:val="005C305E"/>
    <w:rsid w:val="005C36CA"/>
    <w:rsid w:val="005C485B"/>
    <w:rsid w:val="005C6438"/>
    <w:rsid w:val="005D7731"/>
    <w:rsid w:val="005E4D4C"/>
    <w:rsid w:val="005E67D3"/>
    <w:rsid w:val="005E7DC2"/>
    <w:rsid w:val="005F01C4"/>
    <w:rsid w:val="005F1083"/>
    <w:rsid w:val="005F25AF"/>
    <w:rsid w:val="005F4AEA"/>
    <w:rsid w:val="005F5241"/>
    <w:rsid w:val="005F5A42"/>
    <w:rsid w:val="006007E9"/>
    <w:rsid w:val="00602319"/>
    <w:rsid w:val="00603837"/>
    <w:rsid w:val="00603E94"/>
    <w:rsid w:val="006045A4"/>
    <w:rsid w:val="006058BA"/>
    <w:rsid w:val="0061317E"/>
    <w:rsid w:val="0062146D"/>
    <w:rsid w:val="00625B36"/>
    <w:rsid w:val="00627382"/>
    <w:rsid w:val="006278D4"/>
    <w:rsid w:val="0063050C"/>
    <w:rsid w:val="00630574"/>
    <w:rsid w:val="006339F9"/>
    <w:rsid w:val="00645405"/>
    <w:rsid w:val="006507DB"/>
    <w:rsid w:val="00651E44"/>
    <w:rsid w:val="00656B7A"/>
    <w:rsid w:val="00660D0E"/>
    <w:rsid w:val="006629D6"/>
    <w:rsid w:val="00663872"/>
    <w:rsid w:val="00667F85"/>
    <w:rsid w:val="00670FBE"/>
    <w:rsid w:val="00677EE9"/>
    <w:rsid w:val="00682E63"/>
    <w:rsid w:val="00685939"/>
    <w:rsid w:val="006959D9"/>
    <w:rsid w:val="00696DC2"/>
    <w:rsid w:val="006A400F"/>
    <w:rsid w:val="006A4B93"/>
    <w:rsid w:val="006A71EA"/>
    <w:rsid w:val="006B1220"/>
    <w:rsid w:val="006B4064"/>
    <w:rsid w:val="006B4FD3"/>
    <w:rsid w:val="006D2537"/>
    <w:rsid w:val="006D267B"/>
    <w:rsid w:val="006D4806"/>
    <w:rsid w:val="006D5AC0"/>
    <w:rsid w:val="006D5EAF"/>
    <w:rsid w:val="006E5B88"/>
    <w:rsid w:val="006E673F"/>
    <w:rsid w:val="006F2833"/>
    <w:rsid w:val="0070021C"/>
    <w:rsid w:val="007016DC"/>
    <w:rsid w:val="00711322"/>
    <w:rsid w:val="007151A1"/>
    <w:rsid w:val="00722437"/>
    <w:rsid w:val="007315E5"/>
    <w:rsid w:val="00731ED2"/>
    <w:rsid w:val="00731F6B"/>
    <w:rsid w:val="00733662"/>
    <w:rsid w:val="00750637"/>
    <w:rsid w:val="00750726"/>
    <w:rsid w:val="007642E4"/>
    <w:rsid w:val="00772F73"/>
    <w:rsid w:val="00777A5B"/>
    <w:rsid w:val="00780951"/>
    <w:rsid w:val="0079124D"/>
    <w:rsid w:val="00796262"/>
    <w:rsid w:val="00796336"/>
    <w:rsid w:val="00797904"/>
    <w:rsid w:val="007A293E"/>
    <w:rsid w:val="007B5578"/>
    <w:rsid w:val="007C005E"/>
    <w:rsid w:val="007C0540"/>
    <w:rsid w:val="007D59D2"/>
    <w:rsid w:val="007D733D"/>
    <w:rsid w:val="007E63C9"/>
    <w:rsid w:val="007E63FC"/>
    <w:rsid w:val="007F3B90"/>
    <w:rsid w:val="00801526"/>
    <w:rsid w:val="00804AC8"/>
    <w:rsid w:val="0080667D"/>
    <w:rsid w:val="0081129F"/>
    <w:rsid w:val="00814461"/>
    <w:rsid w:val="00817336"/>
    <w:rsid w:val="00831950"/>
    <w:rsid w:val="00831FA3"/>
    <w:rsid w:val="00834223"/>
    <w:rsid w:val="0084582F"/>
    <w:rsid w:val="00852835"/>
    <w:rsid w:val="00855160"/>
    <w:rsid w:val="008557BC"/>
    <w:rsid w:val="00863128"/>
    <w:rsid w:val="00865752"/>
    <w:rsid w:val="00865A06"/>
    <w:rsid w:val="0086741F"/>
    <w:rsid w:val="00871D4D"/>
    <w:rsid w:val="0087328A"/>
    <w:rsid w:val="00874DD4"/>
    <w:rsid w:val="0088305C"/>
    <w:rsid w:val="00885E18"/>
    <w:rsid w:val="00886780"/>
    <w:rsid w:val="0089388E"/>
    <w:rsid w:val="008956AB"/>
    <w:rsid w:val="008960A1"/>
    <w:rsid w:val="008A6922"/>
    <w:rsid w:val="008B2194"/>
    <w:rsid w:val="008B4984"/>
    <w:rsid w:val="008C0613"/>
    <w:rsid w:val="008D0DD9"/>
    <w:rsid w:val="008D0EA7"/>
    <w:rsid w:val="008D24C0"/>
    <w:rsid w:val="008D2C07"/>
    <w:rsid w:val="008D314E"/>
    <w:rsid w:val="008D4F8A"/>
    <w:rsid w:val="008E2CE1"/>
    <w:rsid w:val="008E471F"/>
    <w:rsid w:val="008E4B7D"/>
    <w:rsid w:val="008E6EB3"/>
    <w:rsid w:val="008F1A22"/>
    <w:rsid w:val="008F3B74"/>
    <w:rsid w:val="008F59D2"/>
    <w:rsid w:val="008F6AF2"/>
    <w:rsid w:val="0090204F"/>
    <w:rsid w:val="0090314F"/>
    <w:rsid w:val="00907744"/>
    <w:rsid w:val="009077E5"/>
    <w:rsid w:val="0091241B"/>
    <w:rsid w:val="00921C16"/>
    <w:rsid w:val="00923713"/>
    <w:rsid w:val="00924D87"/>
    <w:rsid w:val="0093125C"/>
    <w:rsid w:val="009358D2"/>
    <w:rsid w:val="00941F6D"/>
    <w:rsid w:val="00946724"/>
    <w:rsid w:val="009526FE"/>
    <w:rsid w:val="00961898"/>
    <w:rsid w:val="00971A9C"/>
    <w:rsid w:val="009720DF"/>
    <w:rsid w:val="00976B58"/>
    <w:rsid w:val="00977B04"/>
    <w:rsid w:val="00980922"/>
    <w:rsid w:val="00984230"/>
    <w:rsid w:val="009863EF"/>
    <w:rsid w:val="00992C58"/>
    <w:rsid w:val="0099526E"/>
    <w:rsid w:val="00995C55"/>
    <w:rsid w:val="009A0369"/>
    <w:rsid w:val="009A58F9"/>
    <w:rsid w:val="009B0A78"/>
    <w:rsid w:val="009B40B9"/>
    <w:rsid w:val="009C367D"/>
    <w:rsid w:val="009C3AD5"/>
    <w:rsid w:val="009C76C8"/>
    <w:rsid w:val="009D25AD"/>
    <w:rsid w:val="009D7B80"/>
    <w:rsid w:val="009E15E9"/>
    <w:rsid w:val="009E1FF3"/>
    <w:rsid w:val="009F1B4E"/>
    <w:rsid w:val="009F2CA5"/>
    <w:rsid w:val="00A052C6"/>
    <w:rsid w:val="00A06C89"/>
    <w:rsid w:val="00A07ED0"/>
    <w:rsid w:val="00A1235B"/>
    <w:rsid w:val="00A15BF6"/>
    <w:rsid w:val="00A16E47"/>
    <w:rsid w:val="00A2002A"/>
    <w:rsid w:val="00A26B55"/>
    <w:rsid w:val="00A3297A"/>
    <w:rsid w:val="00A370C6"/>
    <w:rsid w:val="00A401B6"/>
    <w:rsid w:val="00A4204C"/>
    <w:rsid w:val="00A422E4"/>
    <w:rsid w:val="00A42AFD"/>
    <w:rsid w:val="00A47B4A"/>
    <w:rsid w:val="00A51976"/>
    <w:rsid w:val="00A529DA"/>
    <w:rsid w:val="00A52E27"/>
    <w:rsid w:val="00A618BF"/>
    <w:rsid w:val="00A65CA8"/>
    <w:rsid w:val="00A66802"/>
    <w:rsid w:val="00A719B9"/>
    <w:rsid w:val="00A73574"/>
    <w:rsid w:val="00A76841"/>
    <w:rsid w:val="00A8011A"/>
    <w:rsid w:val="00A81962"/>
    <w:rsid w:val="00A8268A"/>
    <w:rsid w:val="00A8510F"/>
    <w:rsid w:val="00A87D08"/>
    <w:rsid w:val="00A901EF"/>
    <w:rsid w:val="00A9329B"/>
    <w:rsid w:val="00A96F88"/>
    <w:rsid w:val="00AA7893"/>
    <w:rsid w:val="00AB180B"/>
    <w:rsid w:val="00AB220C"/>
    <w:rsid w:val="00AB243A"/>
    <w:rsid w:val="00AB299E"/>
    <w:rsid w:val="00AC259F"/>
    <w:rsid w:val="00AD1DC1"/>
    <w:rsid w:val="00AD3F38"/>
    <w:rsid w:val="00AD4739"/>
    <w:rsid w:val="00AD490E"/>
    <w:rsid w:val="00AE7517"/>
    <w:rsid w:val="00AF3896"/>
    <w:rsid w:val="00AF6277"/>
    <w:rsid w:val="00AF6879"/>
    <w:rsid w:val="00AF7968"/>
    <w:rsid w:val="00B006B8"/>
    <w:rsid w:val="00B053CC"/>
    <w:rsid w:val="00B0782F"/>
    <w:rsid w:val="00B1326E"/>
    <w:rsid w:val="00B13E13"/>
    <w:rsid w:val="00B16189"/>
    <w:rsid w:val="00B33BFE"/>
    <w:rsid w:val="00B35AB4"/>
    <w:rsid w:val="00B36DDD"/>
    <w:rsid w:val="00B36EE4"/>
    <w:rsid w:val="00B427E7"/>
    <w:rsid w:val="00B51074"/>
    <w:rsid w:val="00B51F27"/>
    <w:rsid w:val="00B61D56"/>
    <w:rsid w:val="00B75759"/>
    <w:rsid w:val="00B80677"/>
    <w:rsid w:val="00B8600F"/>
    <w:rsid w:val="00B863C4"/>
    <w:rsid w:val="00B91570"/>
    <w:rsid w:val="00B92C98"/>
    <w:rsid w:val="00B95013"/>
    <w:rsid w:val="00B97C5B"/>
    <w:rsid w:val="00BA021C"/>
    <w:rsid w:val="00BA4060"/>
    <w:rsid w:val="00BB03F1"/>
    <w:rsid w:val="00BB0EF7"/>
    <w:rsid w:val="00BB5C39"/>
    <w:rsid w:val="00BC256D"/>
    <w:rsid w:val="00BC505F"/>
    <w:rsid w:val="00BC5A21"/>
    <w:rsid w:val="00BC7779"/>
    <w:rsid w:val="00BE2C16"/>
    <w:rsid w:val="00BF1064"/>
    <w:rsid w:val="00BF4FD4"/>
    <w:rsid w:val="00BF68E2"/>
    <w:rsid w:val="00C0190B"/>
    <w:rsid w:val="00C07F02"/>
    <w:rsid w:val="00C103E1"/>
    <w:rsid w:val="00C10764"/>
    <w:rsid w:val="00C10B44"/>
    <w:rsid w:val="00C15311"/>
    <w:rsid w:val="00C165BD"/>
    <w:rsid w:val="00C2073E"/>
    <w:rsid w:val="00C30E8E"/>
    <w:rsid w:val="00C42E3A"/>
    <w:rsid w:val="00C45D1E"/>
    <w:rsid w:val="00C45E36"/>
    <w:rsid w:val="00C52168"/>
    <w:rsid w:val="00C6047E"/>
    <w:rsid w:val="00C610AB"/>
    <w:rsid w:val="00C6164E"/>
    <w:rsid w:val="00C63B23"/>
    <w:rsid w:val="00C76599"/>
    <w:rsid w:val="00C77F04"/>
    <w:rsid w:val="00C81645"/>
    <w:rsid w:val="00C82204"/>
    <w:rsid w:val="00C82358"/>
    <w:rsid w:val="00C82BF1"/>
    <w:rsid w:val="00C938BF"/>
    <w:rsid w:val="00C9473F"/>
    <w:rsid w:val="00C96ECC"/>
    <w:rsid w:val="00CA1BF1"/>
    <w:rsid w:val="00CB0605"/>
    <w:rsid w:val="00CB1814"/>
    <w:rsid w:val="00CB658A"/>
    <w:rsid w:val="00CB713A"/>
    <w:rsid w:val="00CC280D"/>
    <w:rsid w:val="00CC48EB"/>
    <w:rsid w:val="00CC5164"/>
    <w:rsid w:val="00CC6F76"/>
    <w:rsid w:val="00CC734E"/>
    <w:rsid w:val="00CD3483"/>
    <w:rsid w:val="00CD6A48"/>
    <w:rsid w:val="00CE2059"/>
    <w:rsid w:val="00CE4180"/>
    <w:rsid w:val="00CE57BC"/>
    <w:rsid w:val="00CE6995"/>
    <w:rsid w:val="00CF15EE"/>
    <w:rsid w:val="00CF20A3"/>
    <w:rsid w:val="00CF44B6"/>
    <w:rsid w:val="00CF4E7C"/>
    <w:rsid w:val="00CF551A"/>
    <w:rsid w:val="00D0212D"/>
    <w:rsid w:val="00D03A1E"/>
    <w:rsid w:val="00D04423"/>
    <w:rsid w:val="00D04562"/>
    <w:rsid w:val="00D06043"/>
    <w:rsid w:val="00D10D3C"/>
    <w:rsid w:val="00D13C30"/>
    <w:rsid w:val="00D17F6A"/>
    <w:rsid w:val="00D30201"/>
    <w:rsid w:val="00D30DFB"/>
    <w:rsid w:val="00D3735F"/>
    <w:rsid w:val="00D3764B"/>
    <w:rsid w:val="00D41828"/>
    <w:rsid w:val="00D4267C"/>
    <w:rsid w:val="00D47553"/>
    <w:rsid w:val="00D5226B"/>
    <w:rsid w:val="00D522A0"/>
    <w:rsid w:val="00D52D1F"/>
    <w:rsid w:val="00D554A5"/>
    <w:rsid w:val="00D66E70"/>
    <w:rsid w:val="00D677C4"/>
    <w:rsid w:val="00D70792"/>
    <w:rsid w:val="00D72F9C"/>
    <w:rsid w:val="00D737F3"/>
    <w:rsid w:val="00D74099"/>
    <w:rsid w:val="00D74CDE"/>
    <w:rsid w:val="00D75F70"/>
    <w:rsid w:val="00D80354"/>
    <w:rsid w:val="00D809BB"/>
    <w:rsid w:val="00D8286A"/>
    <w:rsid w:val="00D84758"/>
    <w:rsid w:val="00D8687D"/>
    <w:rsid w:val="00D91453"/>
    <w:rsid w:val="00D915FE"/>
    <w:rsid w:val="00D95FCC"/>
    <w:rsid w:val="00DA0879"/>
    <w:rsid w:val="00DA18FC"/>
    <w:rsid w:val="00DA44A3"/>
    <w:rsid w:val="00DA5203"/>
    <w:rsid w:val="00DA7296"/>
    <w:rsid w:val="00DA7B88"/>
    <w:rsid w:val="00DB3789"/>
    <w:rsid w:val="00DB3C23"/>
    <w:rsid w:val="00DC23CC"/>
    <w:rsid w:val="00DC698B"/>
    <w:rsid w:val="00DC7E38"/>
    <w:rsid w:val="00DD3802"/>
    <w:rsid w:val="00DD4331"/>
    <w:rsid w:val="00DD724A"/>
    <w:rsid w:val="00DE078E"/>
    <w:rsid w:val="00DE1F24"/>
    <w:rsid w:val="00DE6389"/>
    <w:rsid w:val="00DF2121"/>
    <w:rsid w:val="00E01464"/>
    <w:rsid w:val="00E020FC"/>
    <w:rsid w:val="00E0416F"/>
    <w:rsid w:val="00E06F7E"/>
    <w:rsid w:val="00E111B2"/>
    <w:rsid w:val="00E13433"/>
    <w:rsid w:val="00E1617F"/>
    <w:rsid w:val="00E2039B"/>
    <w:rsid w:val="00E20D56"/>
    <w:rsid w:val="00E21A4E"/>
    <w:rsid w:val="00E40313"/>
    <w:rsid w:val="00E408E7"/>
    <w:rsid w:val="00E4440E"/>
    <w:rsid w:val="00E50A86"/>
    <w:rsid w:val="00E55DAC"/>
    <w:rsid w:val="00E55E55"/>
    <w:rsid w:val="00E609C8"/>
    <w:rsid w:val="00E6193D"/>
    <w:rsid w:val="00E62090"/>
    <w:rsid w:val="00E62200"/>
    <w:rsid w:val="00E63FB7"/>
    <w:rsid w:val="00E641F7"/>
    <w:rsid w:val="00E710B2"/>
    <w:rsid w:val="00E754F7"/>
    <w:rsid w:val="00E76A28"/>
    <w:rsid w:val="00E8494B"/>
    <w:rsid w:val="00E87C52"/>
    <w:rsid w:val="00E902CF"/>
    <w:rsid w:val="00E909F0"/>
    <w:rsid w:val="00E92165"/>
    <w:rsid w:val="00E927DB"/>
    <w:rsid w:val="00E952C4"/>
    <w:rsid w:val="00EC4B49"/>
    <w:rsid w:val="00EC5E7B"/>
    <w:rsid w:val="00ED088B"/>
    <w:rsid w:val="00ED0A92"/>
    <w:rsid w:val="00ED2053"/>
    <w:rsid w:val="00ED5C0E"/>
    <w:rsid w:val="00EE0D1E"/>
    <w:rsid w:val="00EE1FB1"/>
    <w:rsid w:val="00EE34A0"/>
    <w:rsid w:val="00EE623B"/>
    <w:rsid w:val="00EF10CB"/>
    <w:rsid w:val="00EF7FE3"/>
    <w:rsid w:val="00F022F3"/>
    <w:rsid w:val="00F032F5"/>
    <w:rsid w:val="00F04041"/>
    <w:rsid w:val="00F06929"/>
    <w:rsid w:val="00F130C8"/>
    <w:rsid w:val="00F17B97"/>
    <w:rsid w:val="00F21ABE"/>
    <w:rsid w:val="00F2540C"/>
    <w:rsid w:val="00F31726"/>
    <w:rsid w:val="00F31847"/>
    <w:rsid w:val="00F33916"/>
    <w:rsid w:val="00F33CDD"/>
    <w:rsid w:val="00F343F4"/>
    <w:rsid w:val="00F40697"/>
    <w:rsid w:val="00F43690"/>
    <w:rsid w:val="00F528F1"/>
    <w:rsid w:val="00F54895"/>
    <w:rsid w:val="00F66A7D"/>
    <w:rsid w:val="00F700BC"/>
    <w:rsid w:val="00F71E44"/>
    <w:rsid w:val="00F7420C"/>
    <w:rsid w:val="00F74A93"/>
    <w:rsid w:val="00F74FB0"/>
    <w:rsid w:val="00F82C0A"/>
    <w:rsid w:val="00F85AA4"/>
    <w:rsid w:val="00F9047B"/>
    <w:rsid w:val="00F92B56"/>
    <w:rsid w:val="00F9647F"/>
    <w:rsid w:val="00FA0BE7"/>
    <w:rsid w:val="00FA2C64"/>
    <w:rsid w:val="00FA4061"/>
    <w:rsid w:val="00FA52C6"/>
    <w:rsid w:val="00FA717B"/>
    <w:rsid w:val="00FB4035"/>
    <w:rsid w:val="00FC0C23"/>
    <w:rsid w:val="00FD4159"/>
    <w:rsid w:val="00FE0D3A"/>
    <w:rsid w:val="00FE393E"/>
    <w:rsid w:val="00FE736A"/>
    <w:rsid w:val="00FF1D4D"/>
    <w:rsid w:val="00FF4EC9"/>
    <w:rsid w:val="00FF7035"/>
    <w:rsid w:val="01AE4079"/>
    <w:rsid w:val="03BC1248"/>
    <w:rsid w:val="040D23A4"/>
    <w:rsid w:val="06135E8F"/>
    <w:rsid w:val="06ED70B6"/>
    <w:rsid w:val="08882E2E"/>
    <w:rsid w:val="08C25591"/>
    <w:rsid w:val="09CF4BFB"/>
    <w:rsid w:val="0AC94A31"/>
    <w:rsid w:val="0AEA04F5"/>
    <w:rsid w:val="0D4B47DC"/>
    <w:rsid w:val="0F1F6A00"/>
    <w:rsid w:val="0F357E53"/>
    <w:rsid w:val="0F5576EB"/>
    <w:rsid w:val="0F904565"/>
    <w:rsid w:val="10E10AAF"/>
    <w:rsid w:val="11F41C82"/>
    <w:rsid w:val="135F9C1D"/>
    <w:rsid w:val="16392816"/>
    <w:rsid w:val="16986F9A"/>
    <w:rsid w:val="16A257AE"/>
    <w:rsid w:val="177F771A"/>
    <w:rsid w:val="17AC5C68"/>
    <w:rsid w:val="1A1000D3"/>
    <w:rsid w:val="1B073464"/>
    <w:rsid w:val="1CE84A27"/>
    <w:rsid w:val="1D2D4F37"/>
    <w:rsid w:val="1EC17D51"/>
    <w:rsid w:val="20594710"/>
    <w:rsid w:val="20D91D20"/>
    <w:rsid w:val="21F74CC7"/>
    <w:rsid w:val="22644CE1"/>
    <w:rsid w:val="23F55FA8"/>
    <w:rsid w:val="24AB4149"/>
    <w:rsid w:val="25632E34"/>
    <w:rsid w:val="263C64E3"/>
    <w:rsid w:val="2702378F"/>
    <w:rsid w:val="2A2F6101"/>
    <w:rsid w:val="2AD82E5B"/>
    <w:rsid w:val="2B3134E9"/>
    <w:rsid w:val="2C8C7F23"/>
    <w:rsid w:val="2DEC6BE5"/>
    <w:rsid w:val="2FF7724F"/>
    <w:rsid w:val="31F974FB"/>
    <w:rsid w:val="325811F7"/>
    <w:rsid w:val="34202CD0"/>
    <w:rsid w:val="345C0152"/>
    <w:rsid w:val="3C0812EB"/>
    <w:rsid w:val="3CB233FF"/>
    <w:rsid w:val="3D504CF4"/>
    <w:rsid w:val="3D8024EE"/>
    <w:rsid w:val="3FB2637E"/>
    <w:rsid w:val="40133140"/>
    <w:rsid w:val="401C3B3D"/>
    <w:rsid w:val="4425307F"/>
    <w:rsid w:val="44FC58B9"/>
    <w:rsid w:val="45DA3058"/>
    <w:rsid w:val="46367BC0"/>
    <w:rsid w:val="46783EAC"/>
    <w:rsid w:val="473B4704"/>
    <w:rsid w:val="47622919"/>
    <w:rsid w:val="47FF5113"/>
    <w:rsid w:val="48B451E2"/>
    <w:rsid w:val="48F467BF"/>
    <w:rsid w:val="49214B76"/>
    <w:rsid w:val="4A1B4023"/>
    <w:rsid w:val="4ADFAB21"/>
    <w:rsid w:val="4B8B517E"/>
    <w:rsid w:val="4C181799"/>
    <w:rsid w:val="4C9B5FD7"/>
    <w:rsid w:val="4D721D18"/>
    <w:rsid w:val="4F3C7E8D"/>
    <w:rsid w:val="50714687"/>
    <w:rsid w:val="50CE2954"/>
    <w:rsid w:val="51017229"/>
    <w:rsid w:val="5246587C"/>
    <w:rsid w:val="55B84EAE"/>
    <w:rsid w:val="56733B7B"/>
    <w:rsid w:val="56D368FF"/>
    <w:rsid w:val="56F34C36"/>
    <w:rsid w:val="598F014B"/>
    <w:rsid w:val="59EF51BE"/>
    <w:rsid w:val="5ABC3C97"/>
    <w:rsid w:val="5BD87015"/>
    <w:rsid w:val="5CCA72CA"/>
    <w:rsid w:val="5D4273B7"/>
    <w:rsid w:val="63845454"/>
    <w:rsid w:val="643C01D0"/>
    <w:rsid w:val="64B16DC0"/>
    <w:rsid w:val="64BE05C5"/>
    <w:rsid w:val="657D3883"/>
    <w:rsid w:val="675E5C79"/>
    <w:rsid w:val="679226FC"/>
    <w:rsid w:val="67CF6CDD"/>
    <w:rsid w:val="69431F17"/>
    <w:rsid w:val="6A502495"/>
    <w:rsid w:val="6A673DB4"/>
    <w:rsid w:val="6BE13CB3"/>
    <w:rsid w:val="6BF151A3"/>
    <w:rsid w:val="6D6F978B"/>
    <w:rsid w:val="6D8A12B0"/>
    <w:rsid w:val="6E6506E1"/>
    <w:rsid w:val="6E913B8D"/>
    <w:rsid w:val="6ED5171C"/>
    <w:rsid w:val="6F4267A4"/>
    <w:rsid w:val="70270795"/>
    <w:rsid w:val="705B3DC2"/>
    <w:rsid w:val="70CF420F"/>
    <w:rsid w:val="719018DC"/>
    <w:rsid w:val="71ED1C76"/>
    <w:rsid w:val="729D736E"/>
    <w:rsid w:val="732E4532"/>
    <w:rsid w:val="73B726D3"/>
    <w:rsid w:val="73C84284"/>
    <w:rsid w:val="770327A1"/>
    <w:rsid w:val="7777F795"/>
    <w:rsid w:val="77FEE44D"/>
    <w:rsid w:val="78FAAD38"/>
    <w:rsid w:val="797A038D"/>
    <w:rsid w:val="79927CFE"/>
    <w:rsid w:val="79A978C7"/>
    <w:rsid w:val="79E4099C"/>
    <w:rsid w:val="7AFFF7B4"/>
    <w:rsid w:val="7B845D83"/>
    <w:rsid w:val="7C9ABE5D"/>
    <w:rsid w:val="7E734B96"/>
    <w:rsid w:val="7EBDE579"/>
    <w:rsid w:val="7F9267D4"/>
    <w:rsid w:val="7F9946E8"/>
    <w:rsid w:val="7FDB2CEE"/>
    <w:rsid w:val="7FFC041D"/>
    <w:rsid w:val="8EFFD9D2"/>
    <w:rsid w:val="9F4F7BB2"/>
    <w:rsid w:val="BF754E11"/>
    <w:rsid w:val="DDFFD5BA"/>
    <w:rsid w:val="DEBD6C0D"/>
    <w:rsid w:val="EFDF53ED"/>
    <w:rsid w:val="EFF54623"/>
    <w:rsid w:val="F74FDF52"/>
    <w:rsid w:val="FA761C42"/>
    <w:rsid w:val="FBC5FBF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Calibri" w:hAnsi="Calibri" w:eastAsia="仿宋" w:cs="仿宋"/>
      <w:kern w:val="2"/>
      <w:sz w:val="32"/>
      <w:szCs w:val="32"/>
      <w:lang w:val="en-US" w:eastAsia="zh-CN" w:bidi="ar-SA"/>
    </w:rPr>
  </w:style>
  <w:style w:type="paragraph" w:styleId="2">
    <w:name w:val="heading 1"/>
    <w:basedOn w:val="1"/>
    <w:next w:val="1"/>
    <w:link w:val="47"/>
    <w:qFormat/>
    <w:uiPriority w:val="0"/>
    <w:pPr>
      <w:spacing w:line="600" w:lineRule="exact"/>
      <w:ind w:firstLine="640"/>
      <w:outlineLvl w:val="0"/>
    </w:pPr>
    <w:rPr>
      <w:rFonts w:ascii="黑体" w:hAnsi="黑体" w:eastAsia="黑体" w:cs="方正黑体_GBK"/>
    </w:rPr>
  </w:style>
  <w:style w:type="paragraph" w:styleId="3">
    <w:name w:val="heading 2"/>
    <w:basedOn w:val="1"/>
    <w:next w:val="1"/>
    <w:link w:val="48"/>
    <w:unhideWhenUsed/>
    <w:qFormat/>
    <w:uiPriority w:val="0"/>
    <w:pPr>
      <w:spacing w:line="600" w:lineRule="exact"/>
      <w:ind w:firstLine="640"/>
      <w:outlineLvl w:val="1"/>
    </w:pPr>
    <w:rPr>
      <w:rFonts w:ascii="楷体" w:hAnsi="楷体" w:eastAsia="楷体" w:cs="方正楷体_GBK"/>
    </w:rPr>
  </w:style>
  <w:style w:type="paragraph" w:styleId="4">
    <w:name w:val="heading 3"/>
    <w:basedOn w:val="1"/>
    <w:next w:val="1"/>
    <w:link w:val="49"/>
    <w:qFormat/>
    <w:uiPriority w:val="0"/>
    <w:pPr>
      <w:keepNext/>
      <w:keepLines/>
      <w:widowControl w:val="0"/>
      <w:tabs>
        <w:tab w:val="left" w:pos="924"/>
        <w:tab w:val="left" w:pos="7230"/>
      </w:tabs>
      <w:adjustRightInd w:val="0"/>
      <w:spacing w:before="120" w:after="120" w:line="600" w:lineRule="exact"/>
      <w:ind w:firstLine="640"/>
      <w:jc w:val="left"/>
      <w:textAlignment w:val="baseline"/>
      <w:outlineLvl w:val="2"/>
    </w:pPr>
    <w:rPr>
      <w:rFonts w:ascii="黑体" w:hAnsi="宋体" w:eastAsia="黑体" w:cs="Times New Roman"/>
      <w:bCs/>
      <w:color w:val="000000"/>
      <w:sz w:val="28"/>
      <w:szCs w:val="28"/>
    </w:rPr>
  </w:style>
  <w:style w:type="paragraph" w:styleId="5">
    <w:name w:val="heading 4"/>
    <w:basedOn w:val="1"/>
    <w:next w:val="1"/>
    <w:link w:val="50"/>
    <w:qFormat/>
    <w:uiPriority w:val="0"/>
    <w:pPr>
      <w:keepNext/>
      <w:keepLines/>
      <w:widowControl w:val="0"/>
      <w:spacing w:before="280" w:after="290" w:line="376" w:lineRule="auto"/>
      <w:ind w:firstLine="0" w:firstLineChars="0"/>
      <w:outlineLvl w:val="3"/>
    </w:pPr>
    <w:rPr>
      <w:rFonts w:ascii="Arial" w:hAnsi="Arial" w:eastAsia="黑体" w:cs="Times New Roman"/>
      <w:b/>
      <w:bCs/>
      <w:sz w:val="28"/>
      <w:szCs w:val="28"/>
    </w:rPr>
  </w:style>
  <w:style w:type="paragraph" w:styleId="6">
    <w:name w:val="heading 5"/>
    <w:basedOn w:val="1"/>
    <w:next w:val="1"/>
    <w:link w:val="51"/>
    <w:qFormat/>
    <w:uiPriority w:val="0"/>
    <w:pPr>
      <w:keepNext/>
      <w:keepLines/>
      <w:widowControl w:val="0"/>
      <w:spacing w:before="280" w:after="290" w:line="376" w:lineRule="auto"/>
      <w:ind w:firstLine="640"/>
      <w:jc w:val="left"/>
      <w:outlineLvl w:val="4"/>
    </w:pPr>
    <w:rPr>
      <w:rFonts w:ascii="仿宋_GB2312" w:hAnsi="宋体" w:eastAsia="仿宋_GB2312" w:cs="Times New Roman"/>
      <w:b/>
      <w:bCs/>
      <w:color w:val="000000"/>
      <w:sz w:val="28"/>
      <w:szCs w:val="28"/>
    </w:rPr>
  </w:style>
  <w:style w:type="character" w:default="1" w:styleId="37">
    <w:name w:val="Default Paragraph Font"/>
    <w:unhideWhenUsed/>
    <w:uiPriority w:val="1"/>
  </w:style>
  <w:style w:type="table" w:default="1" w:styleId="45">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69"/>
    <w:qFormat/>
    <w:uiPriority w:val="99"/>
    <w:rPr>
      <w:b/>
      <w:bCs/>
    </w:rPr>
  </w:style>
  <w:style w:type="paragraph" w:styleId="8">
    <w:name w:val="annotation text"/>
    <w:basedOn w:val="1"/>
    <w:link w:val="53"/>
    <w:qFormat/>
    <w:uiPriority w:val="99"/>
    <w:pPr>
      <w:widowControl w:val="0"/>
      <w:ind w:firstLine="640"/>
      <w:jc w:val="left"/>
    </w:pPr>
    <w:rPr>
      <w:rFonts w:ascii="仿宋_GB2312" w:hAnsi="宋体" w:eastAsia="仿宋_GB2312" w:cs="Times New Roman"/>
      <w:color w:val="000000"/>
    </w:rPr>
  </w:style>
  <w:style w:type="paragraph" w:styleId="9">
    <w:name w:val="toc 7"/>
    <w:basedOn w:val="1"/>
    <w:next w:val="1"/>
    <w:semiHidden/>
    <w:qFormat/>
    <w:uiPriority w:val="0"/>
    <w:pPr>
      <w:widowControl w:val="0"/>
      <w:ind w:left="1920" w:firstLine="640"/>
      <w:jc w:val="left"/>
    </w:pPr>
    <w:rPr>
      <w:rFonts w:ascii="仿宋_GB2312" w:hAnsi="宋体" w:eastAsia="仿宋_GB2312" w:cs="Times New Roman"/>
      <w:color w:val="000000"/>
      <w:sz w:val="18"/>
      <w:szCs w:val="18"/>
    </w:rPr>
  </w:style>
  <w:style w:type="paragraph" w:styleId="10">
    <w:name w:val="Normal Indent"/>
    <w:basedOn w:val="1"/>
    <w:qFormat/>
    <w:uiPriority w:val="0"/>
    <w:pPr>
      <w:widowControl w:val="0"/>
      <w:adjustRightInd w:val="0"/>
      <w:spacing w:line="240" w:lineRule="auto"/>
      <w:ind w:firstLine="420"/>
      <w:textAlignment w:val="baseline"/>
    </w:pPr>
    <w:rPr>
      <w:rFonts w:ascii="Times New Roman" w:hAnsi="Times New Roman" w:eastAsia="宋体" w:cs="Times New Roman"/>
      <w:sz w:val="21"/>
      <w:szCs w:val="20"/>
    </w:rPr>
  </w:style>
  <w:style w:type="paragraph" w:styleId="11">
    <w:name w:val="Document Map"/>
    <w:basedOn w:val="1"/>
    <w:link w:val="52"/>
    <w:qFormat/>
    <w:uiPriority w:val="99"/>
    <w:pPr>
      <w:widowControl w:val="0"/>
      <w:shd w:val="clear" w:color="auto" w:fill="000080"/>
      <w:ind w:firstLine="640"/>
      <w:jc w:val="left"/>
    </w:pPr>
    <w:rPr>
      <w:rFonts w:ascii="仿宋_GB2312" w:hAnsi="宋体" w:eastAsia="仿宋_GB2312" w:cs="Times New Roman"/>
      <w:color w:val="000000"/>
    </w:rPr>
  </w:style>
  <w:style w:type="paragraph" w:styleId="12">
    <w:name w:val="Salutation"/>
    <w:basedOn w:val="1"/>
    <w:next w:val="1"/>
    <w:link w:val="54"/>
    <w:qFormat/>
    <w:uiPriority w:val="0"/>
    <w:pPr>
      <w:widowControl w:val="0"/>
      <w:spacing w:line="240" w:lineRule="auto"/>
      <w:ind w:firstLine="0" w:firstLineChars="0"/>
    </w:pPr>
    <w:rPr>
      <w:rFonts w:ascii="Times New Roman" w:hAnsi="Times New Roman" w:eastAsia="宋体" w:cs="Times New Roman"/>
      <w:sz w:val="21"/>
      <w:szCs w:val="24"/>
    </w:rPr>
  </w:style>
  <w:style w:type="paragraph" w:styleId="13">
    <w:name w:val="Body Text"/>
    <w:basedOn w:val="1"/>
    <w:link w:val="55"/>
    <w:qFormat/>
    <w:uiPriority w:val="0"/>
    <w:pPr>
      <w:widowControl w:val="0"/>
      <w:spacing w:after="120"/>
      <w:ind w:firstLine="640"/>
      <w:jc w:val="left"/>
    </w:pPr>
    <w:rPr>
      <w:rFonts w:ascii="仿宋_GB2312" w:hAnsi="宋体" w:eastAsia="宋体" w:cs="Times New Roman"/>
      <w:color w:val="000000"/>
      <w:sz w:val="21"/>
      <w:szCs w:val="24"/>
    </w:rPr>
  </w:style>
  <w:style w:type="paragraph" w:styleId="14">
    <w:name w:val="Body Text Indent"/>
    <w:basedOn w:val="1"/>
    <w:link w:val="56"/>
    <w:qFormat/>
    <w:uiPriority w:val="0"/>
    <w:pPr>
      <w:widowControl w:val="0"/>
      <w:ind w:firstLine="632"/>
      <w:jc w:val="left"/>
    </w:pPr>
    <w:rPr>
      <w:rFonts w:ascii="仿宋_GB2312" w:hAnsi="宋体" w:eastAsia="仿宋_GB2312" w:cs="Times New Roman"/>
      <w:color w:val="000000"/>
    </w:rPr>
  </w:style>
  <w:style w:type="paragraph" w:styleId="15">
    <w:name w:val="index 4"/>
    <w:basedOn w:val="1"/>
    <w:next w:val="1"/>
    <w:semiHidden/>
    <w:qFormat/>
    <w:uiPriority w:val="0"/>
    <w:pPr>
      <w:widowControl w:val="0"/>
      <w:ind w:left="600" w:leftChars="600" w:firstLine="640"/>
      <w:jc w:val="left"/>
    </w:pPr>
    <w:rPr>
      <w:rFonts w:ascii="仿宋_GB2312" w:hAnsi="宋体" w:eastAsia="仿宋_GB2312" w:cs="Times New Roman"/>
      <w:color w:val="000000"/>
    </w:rPr>
  </w:style>
  <w:style w:type="paragraph" w:styleId="16">
    <w:name w:val="toc 5"/>
    <w:basedOn w:val="1"/>
    <w:next w:val="1"/>
    <w:semiHidden/>
    <w:qFormat/>
    <w:uiPriority w:val="0"/>
    <w:pPr>
      <w:widowControl w:val="0"/>
      <w:ind w:left="1280" w:firstLine="640"/>
      <w:jc w:val="left"/>
    </w:pPr>
    <w:rPr>
      <w:rFonts w:ascii="仿宋_GB2312" w:hAnsi="宋体" w:eastAsia="仿宋_GB2312" w:cs="Times New Roman"/>
      <w:color w:val="000000"/>
      <w:sz w:val="18"/>
      <w:szCs w:val="18"/>
    </w:rPr>
  </w:style>
  <w:style w:type="paragraph" w:styleId="17">
    <w:name w:val="toc 3"/>
    <w:basedOn w:val="1"/>
    <w:next w:val="1"/>
    <w:qFormat/>
    <w:uiPriority w:val="0"/>
    <w:pPr>
      <w:widowControl w:val="0"/>
      <w:ind w:left="640" w:firstLine="640"/>
      <w:jc w:val="left"/>
    </w:pPr>
    <w:rPr>
      <w:rFonts w:ascii="仿宋_GB2312" w:hAnsi="宋体" w:eastAsia="仿宋_GB2312" w:cs="Times New Roman"/>
      <w:i/>
      <w:iCs/>
      <w:color w:val="000000"/>
      <w:sz w:val="20"/>
    </w:rPr>
  </w:style>
  <w:style w:type="paragraph" w:styleId="18">
    <w:name w:val="Plain Text"/>
    <w:basedOn w:val="1"/>
    <w:link w:val="57"/>
    <w:qFormat/>
    <w:uiPriority w:val="0"/>
    <w:pPr>
      <w:widowControl w:val="0"/>
      <w:ind w:firstLine="640"/>
      <w:jc w:val="left"/>
    </w:pPr>
    <w:rPr>
      <w:rFonts w:ascii="宋体" w:hAnsi="Courier New" w:eastAsia="宋体" w:cs="Courier New"/>
      <w:color w:val="000000"/>
      <w:sz w:val="21"/>
      <w:szCs w:val="21"/>
    </w:rPr>
  </w:style>
  <w:style w:type="paragraph" w:styleId="19">
    <w:name w:val="toc 8"/>
    <w:basedOn w:val="1"/>
    <w:next w:val="1"/>
    <w:semiHidden/>
    <w:qFormat/>
    <w:uiPriority w:val="0"/>
    <w:pPr>
      <w:widowControl w:val="0"/>
      <w:ind w:left="2240" w:firstLine="640"/>
      <w:jc w:val="left"/>
    </w:pPr>
    <w:rPr>
      <w:rFonts w:ascii="仿宋_GB2312" w:hAnsi="宋体" w:eastAsia="仿宋_GB2312" w:cs="Times New Roman"/>
      <w:color w:val="000000"/>
      <w:sz w:val="18"/>
      <w:szCs w:val="18"/>
    </w:rPr>
  </w:style>
  <w:style w:type="paragraph" w:styleId="20">
    <w:name w:val="Date"/>
    <w:basedOn w:val="1"/>
    <w:next w:val="1"/>
    <w:link w:val="58"/>
    <w:qFormat/>
    <w:uiPriority w:val="99"/>
    <w:pPr>
      <w:widowControl w:val="0"/>
      <w:ind w:firstLine="640"/>
      <w:jc w:val="left"/>
    </w:pPr>
    <w:rPr>
      <w:rFonts w:ascii="仿宋_GB2312" w:hAnsi="宋体" w:eastAsia="仿宋_GB2312" w:cs="Times New Roman"/>
      <w:color w:val="000000"/>
    </w:rPr>
  </w:style>
  <w:style w:type="paragraph" w:styleId="21">
    <w:name w:val="Body Text Indent 2"/>
    <w:basedOn w:val="1"/>
    <w:link w:val="59"/>
    <w:qFormat/>
    <w:uiPriority w:val="0"/>
    <w:pPr>
      <w:widowControl w:val="0"/>
      <w:spacing w:beforeLines="100" w:afterLines="100" w:line="440" w:lineRule="exact"/>
      <w:ind w:firstLine="612"/>
      <w:jc w:val="left"/>
    </w:pPr>
    <w:rPr>
      <w:rFonts w:ascii="仿宋_GB2312" w:hAnsi="宋体" w:eastAsia="仿宋_GB2312" w:cs="Times New Roman"/>
      <w:color w:val="000000"/>
      <w:sz w:val="28"/>
    </w:rPr>
  </w:style>
  <w:style w:type="paragraph" w:styleId="22">
    <w:name w:val="endnote text"/>
    <w:basedOn w:val="1"/>
    <w:link w:val="60"/>
    <w:unhideWhenUsed/>
    <w:qFormat/>
    <w:uiPriority w:val="99"/>
    <w:pPr>
      <w:widowControl w:val="0"/>
      <w:snapToGrid w:val="0"/>
      <w:spacing w:line="240" w:lineRule="auto"/>
      <w:ind w:firstLine="0" w:firstLineChars="0"/>
      <w:jc w:val="left"/>
    </w:pPr>
    <w:rPr>
      <w:rFonts w:ascii="Times New Roman" w:hAnsi="Times New Roman" w:eastAsia="宋体" w:cs="Times New Roman"/>
      <w:sz w:val="21"/>
      <w:szCs w:val="24"/>
    </w:rPr>
  </w:style>
  <w:style w:type="paragraph" w:styleId="23">
    <w:name w:val="Balloon Text"/>
    <w:basedOn w:val="1"/>
    <w:link w:val="61"/>
    <w:unhideWhenUsed/>
    <w:qFormat/>
    <w:uiPriority w:val="99"/>
    <w:pPr>
      <w:spacing w:line="240" w:lineRule="auto"/>
    </w:pPr>
    <w:rPr>
      <w:sz w:val="18"/>
      <w:szCs w:val="18"/>
    </w:rPr>
  </w:style>
  <w:style w:type="paragraph" w:styleId="24">
    <w:name w:val="footer"/>
    <w:basedOn w:val="1"/>
    <w:link w:val="62"/>
    <w:unhideWhenUsed/>
    <w:qFormat/>
    <w:uiPriority w:val="99"/>
    <w:pPr>
      <w:tabs>
        <w:tab w:val="center" w:pos="4153"/>
        <w:tab w:val="right" w:pos="8306"/>
      </w:tabs>
      <w:snapToGrid w:val="0"/>
      <w:spacing w:line="240" w:lineRule="auto"/>
      <w:jc w:val="left"/>
    </w:pPr>
    <w:rPr>
      <w:sz w:val="18"/>
      <w:szCs w:val="18"/>
    </w:rPr>
  </w:style>
  <w:style w:type="paragraph" w:styleId="25">
    <w:name w:val="header"/>
    <w:basedOn w:val="1"/>
    <w:link w:val="6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6">
    <w:name w:val="toc 1"/>
    <w:basedOn w:val="1"/>
    <w:next w:val="1"/>
    <w:qFormat/>
    <w:uiPriority w:val="39"/>
    <w:pPr>
      <w:widowControl w:val="0"/>
      <w:tabs>
        <w:tab w:val="right" w:leader="dot" w:pos="9175"/>
      </w:tabs>
      <w:spacing w:before="120" w:after="120"/>
      <w:ind w:firstLine="640"/>
      <w:jc w:val="left"/>
    </w:pPr>
    <w:rPr>
      <w:rFonts w:ascii="宋体" w:hAnsi="宋体" w:eastAsia="宋体" w:cs="Times New Roman"/>
      <w:b/>
      <w:bCs/>
      <w:caps/>
      <w:color w:val="000000"/>
      <w:sz w:val="24"/>
      <w:szCs w:val="24"/>
    </w:rPr>
  </w:style>
  <w:style w:type="paragraph" w:styleId="27">
    <w:name w:val="toc 4"/>
    <w:basedOn w:val="1"/>
    <w:next w:val="1"/>
    <w:semiHidden/>
    <w:qFormat/>
    <w:uiPriority w:val="0"/>
    <w:pPr>
      <w:widowControl w:val="0"/>
      <w:ind w:left="960" w:firstLine="640"/>
      <w:jc w:val="left"/>
    </w:pPr>
    <w:rPr>
      <w:rFonts w:ascii="仿宋_GB2312" w:hAnsi="宋体" w:eastAsia="仿宋_GB2312" w:cs="Times New Roman"/>
      <w:color w:val="000000"/>
      <w:sz w:val="18"/>
      <w:szCs w:val="18"/>
    </w:rPr>
  </w:style>
  <w:style w:type="paragraph" w:styleId="28">
    <w:name w:val="footnote text"/>
    <w:basedOn w:val="1"/>
    <w:link w:val="64"/>
    <w:unhideWhenUsed/>
    <w:qFormat/>
    <w:uiPriority w:val="99"/>
    <w:pPr>
      <w:widowControl w:val="0"/>
      <w:snapToGrid w:val="0"/>
      <w:spacing w:line="240" w:lineRule="auto"/>
      <w:ind w:firstLine="0" w:firstLineChars="0"/>
      <w:jc w:val="left"/>
    </w:pPr>
    <w:rPr>
      <w:rFonts w:ascii="Times New Roman" w:hAnsi="Times New Roman" w:eastAsia="宋体" w:cs="Times New Roman"/>
      <w:sz w:val="18"/>
      <w:szCs w:val="18"/>
    </w:rPr>
  </w:style>
  <w:style w:type="paragraph" w:styleId="29">
    <w:name w:val="toc 6"/>
    <w:basedOn w:val="1"/>
    <w:next w:val="1"/>
    <w:semiHidden/>
    <w:qFormat/>
    <w:uiPriority w:val="0"/>
    <w:pPr>
      <w:widowControl w:val="0"/>
      <w:ind w:left="1600" w:firstLine="640"/>
      <w:jc w:val="left"/>
    </w:pPr>
    <w:rPr>
      <w:rFonts w:ascii="仿宋_GB2312" w:hAnsi="宋体" w:eastAsia="仿宋_GB2312" w:cs="Times New Roman"/>
      <w:color w:val="000000"/>
      <w:sz w:val="18"/>
      <w:szCs w:val="18"/>
    </w:rPr>
  </w:style>
  <w:style w:type="paragraph" w:styleId="30">
    <w:name w:val="Body Text Indent 3"/>
    <w:basedOn w:val="1"/>
    <w:link w:val="65"/>
    <w:qFormat/>
    <w:uiPriority w:val="0"/>
    <w:pPr>
      <w:widowControl w:val="0"/>
      <w:spacing w:after="120"/>
      <w:ind w:left="420" w:leftChars="200" w:firstLine="640"/>
      <w:jc w:val="left"/>
    </w:pPr>
    <w:rPr>
      <w:rFonts w:ascii="仿宋_GB2312" w:hAnsi="宋体" w:eastAsia="仿宋_GB2312" w:cs="Times New Roman"/>
      <w:color w:val="000000"/>
      <w:sz w:val="16"/>
      <w:szCs w:val="16"/>
    </w:rPr>
  </w:style>
  <w:style w:type="paragraph" w:styleId="31">
    <w:name w:val="toc 2"/>
    <w:basedOn w:val="1"/>
    <w:next w:val="1"/>
    <w:qFormat/>
    <w:uiPriority w:val="39"/>
    <w:pPr>
      <w:widowControl w:val="0"/>
      <w:tabs>
        <w:tab w:val="right" w:leader="dot" w:pos="9175"/>
      </w:tabs>
      <w:ind w:firstLine="480"/>
      <w:jc w:val="left"/>
    </w:pPr>
    <w:rPr>
      <w:rFonts w:ascii="仿宋_GB2312" w:hAnsi="宋体" w:eastAsia="仿宋_GB2312" w:cs="Times New Roman"/>
      <w:smallCaps/>
      <w:color w:val="000000"/>
      <w:sz w:val="20"/>
    </w:rPr>
  </w:style>
  <w:style w:type="paragraph" w:styleId="32">
    <w:name w:val="toc 9"/>
    <w:basedOn w:val="1"/>
    <w:next w:val="1"/>
    <w:semiHidden/>
    <w:qFormat/>
    <w:uiPriority w:val="0"/>
    <w:pPr>
      <w:widowControl w:val="0"/>
      <w:ind w:left="2560" w:firstLine="640"/>
      <w:jc w:val="left"/>
    </w:pPr>
    <w:rPr>
      <w:rFonts w:ascii="仿宋_GB2312" w:hAnsi="宋体" w:eastAsia="仿宋_GB2312" w:cs="Times New Roman"/>
      <w:color w:val="000000"/>
      <w:sz w:val="18"/>
      <w:szCs w:val="18"/>
    </w:rPr>
  </w:style>
  <w:style w:type="paragraph" w:styleId="33">
    <w:name w:val="Body Text 2"/>
    <w:basedOn w:val="1"/>
    <w:link w:val="66"/>
    <w:qFormat/>
    <w:uiPriority w:val="0"/>
    <w:pPr>
      <w:widowControl w:val="0"/>
      <w:adjustRightInd w:val="0"/>
      <w:snapToGrid w:val="0"/>
      <w:ind w:firstLine="0" w:firstLineChars="0"/>
    </w:pPr>
    <w:rPr>
      <w:rFonts w:ascii="宋体" w:hAnsi="宋体" w:eastAsia="宋体" w:cs="Times New Roman"/>
      <w:sz w:val="28"/>
      <w:szCs w:val="28"/>
    </w:rPr>
  </w:style>
  <w:style w:type="paragraph" w:styleId="34">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ascii="Arial" w:hAnsi="Arial" w:eastAsia="宋体" w:cs="Arial"/>
      <w:kern w:val="0"/>
      <w:sz w:val="21"/>
      <w:szCs w:val="21"/>
    </w:rPr>
  </w:style>
  <w:style w:type="paragraph" w:styleId="35">
    <w:name w:val="Normal (Web)"/>
    <w:basedOn w:val="1"/>
    <w:qFormat/>
    <w:uiPriority w:val="99"/>
    <w:pPr>
      <w:spacing w:before="100" w:beforeAutospacing="1" w:after="100" w:afterAutospacing="1"/>
      <w:ind w:firstLine="640"/>
      <w:jc w:val="left"/>
    </w:pPr>
    <w:rPr>
      <w:rFonts w:hint="eastAsia" w:ascii="宋体" w:hAnsi="宋体" w:eastAsia="宋体" w:cs="Times New Roman"/>
      <w:color w:val="000000"/>
      <w:kern w:val="0"/>
      <w:sz w:val="24"/>
      <w:szCs w:val="24"/>
    </w:rPr>
  </w:style>
  <w:style w:type="paragraph" w:styleId="36">
    <w:name w:val="Title"/>
    <w:basedOn w:val="1"/>
    <w:link w:val="68"/>
    <w:qFormat/>
    <w:uiPriority w:val="0"/>
    <w:pPr>
      <w:spacing w:line="240" w:lineRule="auto"/>
      <w:ind w:firstLine="0" w:firstLineChars="0"/>
      <w:jc w:val="center"/>
    </w:pPr>
    <w:rPr>
      <w:rFonts w:ascii="方正小标宋简体" w:eastAsia="方正小标宋简体"/>
      <w:sz w:val="44"/>
      <w:szCs w:val="44"/>
    </w:rPr>
  </w:style>
  <w:style w:type="character" w:styleId="38">
    <w:name w:val="Strong"/>
    <w:qFormat/>
    <w:uiPriority w:val="22"/>
    <w:rPr>
      <w:b/>
      <w:bCs/>
    </w:rPr>
  </w:style>
  <w:style w:type="character" w:styleId="39">
    <w:name w:val="endnote reference"/>
    <w:unhideWhenUsed/>
    <w:qFormat/>
    <w:uiPriority w:val="99"/>
    <w:rPr>
      <w:vertAlign w:val="superscript"/>
    </w:rPr>
  </w:style>
  <w:style w:type="character" w:styleId="40">
    <w:name w:val="page number"/>
    <w:basedOn w:val="37"/>
    <w:qFormat/>
    <w:uiPriority w:val="0"/>
  </w:style>
  <w:style w:type="character" w:styleId="41">
    <w:name w:val="Emphasis"/>
    <w:qFormat/>
    <w:uiPriority w:val="0"/>
    <w:rPr>
      <w:i/>
      <w:iCs/>
    </w:rPr>
  </w:style>
  <w:style w:type="character" w:styleId="42">
    <w:name w:val="Hyperlink"/>
    <w:basedOn w:val="37"/>
    <w:qFormat/>
    <w:uiPriority w:val="99"/>
    <w:rPr>
      <w:color w:val="0000FF"/>
      <w:u w:val="single"/>
    </w:rPr>
  </w:style>
  <w:style w:type="character" w:styleId="43">
    <w:name w:val="annotation reference"/>
    <w:basedOn w:val="37"/>
    <w:semiHidden/>
    <w:qFormat/>
    <w:uiPriority w:val="99"/>
    <w:rPr>
      <w:sz w:val="21"/>
      <w:szCs w:val="21"/>
    </w:rPr>
  </w:style>
  <w:style w:type="character" w:styleId="44">
    <w:name w:val="footnote reference"/>
    <w:unhideWhenUsed/>
    <w:qFormat/>
    <w:uiPriority w:val="99"/>
    <w:rPr>
      <w:vertAlign w:val="superscript"/>
    </w:rPr>
  </w:style>
  <w:style w:type="table" w:styleId="46">
    <w:name w:val="Table Grid"/>
    <w:basedOn w:val="4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7">
    <w:name w:val="标题 1 Char"/>
    <w:basedOn w:val="37"/>
    <w:link w:val="2"/>
    <w:qFormat/>
    <w:uiPriority w:val="0"/>
    <w:rPr>
      <w:rFonts w:ascii="黑体" w:hAnsi="黑体" w:eastAsia="黑体" w:cs="方正黑体_GBK"/>
      <w:kern w:val="2"/>
      <w:sz w:val="32"/>
      <w:szCs w:val="32"/>
    </w:rPr>
  </w:style>
  <w:style w:type="character" w:customStyle="1" w:styleId="48">
    <w:name w:val="标题 2 Char"/>
    <w:basedOn w:val="37"/>
    <w:link w:val="3"/>
    <w:qFormat/>
    <w:uiPriority w:val="0"/>
    <w:rPr>
      <w:rFonts w:ascii="楷体" w:hAnsi="楷体" w:eastAsia="楷体" w:cs="方正楷体_GBK"/>
      <w:kern w:val="2"/>
      <w:sz w:val="32"/>
      <w:szCs w:val="32"/>
    </w:rPr>
  </w:style>
  <w:style w:type="character" w:customStyle="1" w:styleId="49">
    <w:name w:val="标题 3 Char"/>
    <w:basedOn w:val="37"/>
    <w:link w:val="4"/>
    <w:qFormat/>
    <w:uiPriority w:val="0"/>
    <w:rPr>
      <w:rFonts w:ascii="黑体" w:hAnsi="宋体" w:eastAsia="黑体" w:cs="Times New Roman"/>
      <w:bCs/>
      <w:color w:val="000000"/>
      <w:kern w:val="2"/>
      <w:sz w:val="28"/>
      <w:szCs w:val="28"/>
    </w:rPr>
  </w:style>
  <w:style w:type="character" w:customStyle="1" w:styleId="50">
    <w:name w:val="标题 4 Char"/>
    <w:basedOn w:val="37"/>
    <w:link w:val="5"/>
    <w:qFormat/>
    <w:uiPriority w:val="0"/>
    <w:rPr>
      <w:rFonts w:ascii="Arial" w:hAnsi="Arial" w:eastAsia="黑体" w:cs="Times New Roman"/>
      <w:b/>
      <w:bCs/>
      <w:kern w:val="2"/>
      <w:sz w:val="28"/>
      <w:szCs w:val="28"/>
    </w:rPr>
  </w:style>
  <w:style w:type="character" w:customStyle="1" w:styleId="51">
    <w:name w:val="标题 5 Char"/>
    <w:basedOn w:val="37"/>
    <w:link w:val="6"/>
    <w:qFormat/>
    <w:uiPriority w:val="0"/>
    <w:rPr>
      <w:rFonts w:ascii="仿宋_GB2312" w:hAnsi="宋体" w:eastAsia="仿宋_GB2312" w:cs="Times New Roman"/>
      <w:b/>
      <w:bCs/>
      <w:color w:val="000000"/>
      <w:kern w:val="2"/>
      <w:sz w:val="28"/>
      <w:szCs w:val="28"/>
    </w:rPr>
  </w:style>
  <w:style w:type="character" w:customStyle="1" w:styleId="52">
    <w:name w:val="文档结构图 Char"/>
    <w:basedOn w:val="37"/>
    <w:link w:val="11"/>
    <w:qFormat/>
    <w:uiPriority w:val="99"/>
    <w:rPr>
      <w:rFonts w:ascii="仿宋_GB2312" w:hAnsi="宋体" w:eastAsia="仿宋_GB2312" w:cs="Times New Roman"/>
      <w:color w:val="000000"/>
      <w:kern w:val="2"/>
      <w:sz w:val="32"/>
      <w:szCs w:val="32"/>
      <w:shd w:val="clear" w:color="auto" w:fill="000080"/>
    </w:rPr>
  </w:style>
  <w:style w:type="character" w:customStyle="1" w:styleId="53">
    <w:name w:val="批注文字 Char2"/>
    <w:link w:val="8"/>
    <w:qFormat/>
    <w:uiPriority w:val="99"/>
    <w:rPr>
      <w:rFonts w:ascii="仿宋_GB2312" w:hAnsi="宋体" w:eastAsia="仿宋_GB2312" w:cs="Times New Roman"/>
      <w:color w:val="000000"/>
      <w:kern w:val="2"/>
      <w:sz w:val="32"/>
      <w:szCs w:val="32"/>
    </w:rPr>
  </w:style>
  <w:style w:type="character" w:customStyle="1" w:styleId="54">
    <w:name w:val="称呼 Char"/>
    <w:basedOn w:val="37"/>
    <w:link w:val="12"/>
    <w:qFormat/>
    <w:uiPriority w:val="0"/>
    <w:rPr>
      <w:rFonts w:ascii="Times New Roman" w:hAnsi="Times New Roman" w:eastAsia="宋体" w:cs="Times New Roman"/>
      <w:kern w:val="2"/>
      <w:sz w:val="21"/>
      <w:szCs w:val="24"/>
    </w:rPr>
  </w:style>
  <w:style w:type="character" w:customStyle="1" w:styleId="55">
    <w:name w:val="正文文本 Char"/>
    <w:basedOn w:val="37"/>
    <w:link w:val="13"/>
    <w:qFormat/>
    <w:uiPriority w:val="0"/>
    <w:rPr>
      <w:rFonts w:ascii="仿宋_GB2312" w:hAnsi="宋体" w:eastAsia="宋体" w:cs="Times New Roman"/>
      <w:color w:val="000000"/>
      <w:kern w:val="2"/>
      <w:sz w:val="21"/>
      <w:szCs w:val="24"/>
    </w:rPr>
  </w:style>
  <w:style w:type="character" w:customStyle="1" w:styleId="56">
    <w:name w:val="正文文本缩进 Char"/>
    <w:basedOn w:val="37"/>
    <w:link w:val="14"/>
    <w:qFormat/>
    <w:uiPriority w:val="0"/>
    <w:rPr>
      <w:rFonts w:ascii="仿宋_GB2312" w:hAnsi="宋体" w:eastAsia="仿宋_GB2312" w:cs="Times New Roman"/>
      <w:color w:val="000000"/>
      <w:kern w:val="2"/>
      <w:sz w:val="32"/>
      <w:szCs w:val="32"/>
    </w:rPr>
  </w:style>
  <w:style w:type="character" w:customStyle="1" w:styleId="57">
    <w:name w:val="纯文本 Char"/>
    <w:basedOn w:val="37"/>
    <w:link w:val="18"/>
    <w:qFormat/>
    <w:uiPriority w:val="0"/>
    <w:rPr>
      <w:rFonts w:ascii="宋体" w:hAnsi="Courier New" w:eastAsia="宋体" w:cs="Courier New"/>
      <w:color w:val="000000"/>
      <w:kern w:val="2"/>
      <w:sz w:val="21"/>
      <w:szCs w:val="21"/>
    </w:rPr>
  </w:style>
  <w:style w:type="character" w:customStyle="1" w:styleId="58">
    <w:name w:val="日期 Char"/>
    <w:basedOn w:val="37"/>
    <w:link w:val="20"/>
    <w:qFormat/>
    <w:uiPriority w:val="99"/>
    <w:rPr>
      <w:rFonts w:ascii="仿宋_GB2312" w:hAnsi="宋体" w:eastAsia="仿宋_GB2312" w:cs="Times New Roman"/>
      <w:color w:val="000000"/>
      <w:kern w:val="2"/>
      <w:sz w:val="32"/>
      <w:szCs w:val="32"/>
    </w:rPr>
  </w:style>
  <w:style w:type="character" w:customStyle="1" w:styleId="59">
    <w:name w:val="正文文本缩进 2 Char"/>
    <w:basedOn w:val="37"/>
    <w:link w:val="21"/>
    <w:qFormat/>
    <w:uiPriority w:val="0"/>
    <w:rPr>
      <w:rFonts w:ascii="仿宋_GB2312" w:hAnsi="宋体" w:eastAsia="仿宋_GB2312" w:cs="Times New Roman"/>
      <w:color w:val="000000"/>
      <w:kern w:val="2"/>
      <w:sz w:val="28"/>
      <w:szCs w:val="32"/>
    </w:rPr>
  </w:style>
  <w:style w:type="character" w:customStyle="1" w:styleId="60">
    <w:name w:val="尾注文本 Char"/>
    <w:basedOn w:val="37"/>
    <w:link w:val="22"/>
    <w:qFormat/>
    <w:uiPriority w:val="99"/>
    <w:rPr>
      <w:rFonts w:ascii="Times New Roman" w:hAnsi="Times New Roman" w:eastAsia="宋体" w:cs="Times New Roman"/>
      <w:kern w:val="2"/>
      <w:sz w:val="21"/>
      <w:szCs w:val="24"/>
    </w:rPr>
  </w:style>
  <w:style w:type="character" w:customStyle="1" w:styleId="61">
    <w:name w:val="批注框文本 Char"/>
    <w:basedOn w:val="37"/>
    <w:link w:val="23"/>
    <w:semiHidden/>
    <w:qFormat/>
    <w:uiPriority w:val="99"/>
    <w:rPr>
      <w:sz w:val="18"/>
      <w:szCs w:val="18"/>
    </w:rPr>
  </w:style>
  <w:style w:type="character" w:customStyle="1" w:styleId="62">
    <w:name w:val="页脚 Char"/>
    <w:basedOn w:val="37"/>
    <w:link w:val="24"/>
    <w:qFormat/>
    <w:uiPriority w:val="99"/>
    <w:rPr>
      <w:sz w:val="18"/>
      <w:szCs w:val="18"/>
    </w:rPr>
  </w:style>
  <w:style w:type="character" w:customStyle="1" w:styleId="63">
    <w:name w:val="页眉 Char"/>
    <w:basedOn w:val="37"/>
    <w:link w:val="25"/>
    <w:qFormat/>
    <w:uiPriority w:val="99"/>
    <w:rPr>
      <w:sz w:val="18"/>
      <w:szCs w:val="18"/>
    </w:rPr>
  </w:style>
  <w:style w:type="character" w:customStyle="1" w:styleId="64">
    <w:name w:val="脚注文本 Char"/>
    <w:basedOn w:val="37"/>
    <w:link w:val="28"/>
    <w:qFormat/>
    <w:uiPriority w:val="99"/>
    <w:rPr>
      <w:rFonts w:ascii="Times New Roman" w:hAnsi="Times New Roman" w:eastAsia="宋体" w:cs="Times New Roman"/>
      <w:kern w:val="2"/>
      <w:sz w:val="18"/>
      <w:szCs w:val="18"/>
    </w:rPr>
  </w:style>
  <w:style w:type="character" w:customStyle="1" w:styleId="65">
    <w:name w:val="正文文本缩进 3 Char"/>
    <w:basedOn w:val="37"/>
    <w:link w:val="30"/>
    <w:qFormat/>
    <w:uiPriority w:val="0"/>
    <w:rPr>
      <w:rFonts w:ascii="仿宋_GB2312" w:hAnsi="宋体" w:eastAsia="仿宋_GB2312" w:cs="Times New Roman"/>
      <w:color w:val="000000"/>
      <w:kern w:val="2"/>
      <w:sz w:val="16"/>
      <w:szCs w:val="16"/>
    </w:rPr>
  </w:style>
  <w:style w:type="character" w:customStyle="1" w:styleId="66">
    <w:name w:val="正文文本 2 Char"/>
    <w:basedOn w:val="37"/>
    <w:link w:val="33"/>
    <w:qFormat/>
    <w:uiPriority w:val="0"/>
    <w:rPr>
      <w:rFonts w:ascii="宋体" w:hAnsi="宋体" w:eastAsia="宋体" w:cs="Times New Roman"/>
      <w:kern w:val="2"/>
      <w:sz w:val="28"/>
      <w:szCs w:val="28"/>
    </w:rPr>
  </w:style>
  <w:style w:type="character" w:customStyle="1" w:styleId="67">
    <w:name w:val="HTML 预设格式 Char"/>
    <w:basedOn w:val="37"/>
    <w:link w:val="34"/>
    <w:qFormat/>
    <w:uiPriority w:val="0"/>
    <w:rPr>
      <w:rFonts w:ascii="Arial" w:hAnsi="Arial" w:eastAsia="宋体" w:cs="Arial"/>
      <w:sz w:val="21"/>
      <w:szCs w:val="21"/>
    </w:rPr>
  </w:style>
  <w:style w:type="character" w:customStyle="1" w:styleId="68">
    <w:name w:val="标题 Char"/>
    <w:basedOn w:val="37"/>
    <w:link w:val="36"/>
    <w:qFormat/>
    <w:uiPriority w:val="0"/>
    <w:rPr>
      <w:rFonts w:ascii="方正小标宋简体" w:eastAsia="方正小标宋简体"/>
      <w:kern w:val="2"/>
      <w:sz w:val="44"/>
      <w:szCs w:val="44"/>
    </w:rPr>
  </w:style>
  <w:style w:type="character" w:customStyle="1" w:styleId="69">
    <w:name w:val="批注主题 Char"/>
    <w:basedOn w:val="70"/>
    <w:link w:val="7"/>
    <w:qFormat/>
    <w:uiPriority w:val="99"/>
    <w:rPr>
      <w:rFonts w:ascii="仿宋_GB2312" w:hAnsi="宋体" w:eastAsia="仿宋_GB2312" w:cs="Times New Roman"/>
      <w:b/>
      <w:bCs/>
      <w:color w:val="000000"/>
      <w:kern w:val="2"/>
      <w:sz w:val="32"/>
      <w:szCs w:val="32"/>
    </w:rPr>
  </w:style>
  <w:style w:type="character" w:customStyle="1" w:styleId="70">
    <w:name w:val="批注文字 Char"/>
    <w:basedOn w:val="37"/>
    <w:qFormat/>
    <w:uiPriority w:val="99"/>
    <w:rPr>
      <w:kern w:val="2"/>
      <w:sz w:val="32"/>
      <w:szCs w:val="32"/>
    </w:rPr>
  </w:style>
  <w:style w:type="character" w:customStyle="1" w:styleId="71">
    <w:name w:val="grame"/>
    <w:basedOn w:val="37"/>
    <w:qFormat/>
    <w:uiPriority w:val="0"/>
  </w:style>
  <w:style w:type="paragraph" w:customStyle="1" w:styleId="72">
    <w:name w:val="正文文字缩进"/>
    <w:basedOn w:val="1"/>
    <w:qFormat/>
    <w:uiPriority w:val="0"/>
    <w:pPr>
      <w:spacing w:line="351" w:lineRule="atLeast"/>
      <w:ind w:firstLine="640"/>
      <w:jc w:val="left"/>
      <w:textAlignment w:val="baseline"/>
    </w:pPr>
    <w:rPr>
      <w:rFonts w:ascii="仿宋_GB2312" w:hAnsi="宋体" w:eastAsia="宋体" w:cs="Times New Roman"/>
      <w:color w:val="000000"/>
      <w:kern w:val="0"/>
      <w:sz w:val="21"/>
    </w:rPr>
  </w:style>
  <w:style w:type="paragraph" w:customStyle="1" w:styleId="73">
    <w:name w:val="Char Char Char Char"/>
    <w:basedOn w:val="1"/>
    <w:qFormat/>
    <w:uiPriority w:val="0"/>
    <w:pPr>
      <w:widowControl w:val="0"/>
      <w:ind w:firstLine="640"/>
      <w:jc w:val="left"/>
    </w:pPr>
    <w:rPr>
      <w:rFonts w:ascii="Tahoma" w:hAnsi="Tahoma" w:eastAsia="宋体" w:cs="Times New Roman"/>
      <w:color w:val="000000"/>
      <w:sz w:val="24"/>
    </w:rPr>
  </w:style>
  <w:style w:type="paragraph" w:customStyle="1" w:styleId="74">
    <w:name w:val="xl29"/>
    <w:basedOn w:val="1"/>
    <w:qFormat/>
    <w:uiPriority w:val="0"/>
    <w:pPr>
      <w:spacing w:before="100" w:beforeAutospacing="1" w:after="100" w:afterAutospacing="1"/>
      <w:ind w:firstLine="640"/>
      <w:jc w:val="center"/>
    </w:pPr>
    <w:rPr>
      <w:rFonts w:ascii="宋体" w:hAnsi="宋体" w:eastAsia="宋体" w:cs="Times New Roman"/>
      <w:color w:val="000000"/>
      <w:kern w:val="0"/>
      <w:sz w:val="20"/>
    </w:rPr>
  </w:style>
  <w:style w:type="paragraph" w:customStyle="1" w:styleId="75">
    <w:name w:val="zyw"/>
    <w:basedOn w:val="15"/>
    <w:qFormat/>
    <w:uiPriority w:val="0"/>
    <w:pPr>
      <w:spacing w:line="400" w:lineRule="exact"/>
      <w:ind w:left="0" w:leftChars="0"/>
      <w:outlineLvl w:val="0"/>
    </w:pPr>
    <w:rPr>
      <w:rFonts w:eastAsia="宋体"/>
      <w:sz w:val="21"/>
      <w:szCs w:val="21"/>
    </w:rPr>
  </w:style>
  <w:style w:type="paragraph" w:customStyle="1" w:styleId="76">
    <w:name w:val="Char Char Char Char Char"/>
    <w:basedOn w:val="1"/>
    <w:qFormat/>
    <w:uiPriority w:val="0"/>
    <w:pPr>
      <w:widowControl w:val="0"/>
      <w:ind w:firstLine="640"/>
      <w:jc w:val="left"/>
    </w:pPr>
    <w:rPr>
      <w:rFonts w:ascii="Tahoma" w:hAnsi="Tahoma" w:eastAsia="宋体" w:cs="Tahoma"/>
      <w:color w:val="000000"/>
      <w:sz w:val="24"/>
      <w:szCs w:val="24"/>
    </w:rPr>
  </w:style>
  <w:style w:type="paragraph" w:customStyle="1" w:styleId="77">
    <w:name w:val="Char Char Char Char Char1"/>
    <w:basedOn w:val="1"/>
    <w:qFormat/>
    <w:uiPriority w:val="0"/>
    <w:pPr>
      <w:widowControl w:val="0"/>
      <w:ind w:firstLine="640"/>
      <w:jc w:val="left"/>
    </w:pPr>
    <w:rPr>
      <w:rFonts w:ascii="Tahoma" w:hAnsi="Tahoma" w:eastAsia="宋体" w:cs="Times New Roman"/>
      <w:color w:val="000000"/>
      <w:sz w:val="24"/>
    </w:rPr>
  </w:style>
  <w:style w:type="paragraph" w:customStyle="1" w:styleId="78">
    <w:name w:val="Char Char1 Char Char Char Char Char Char Char Char"/>
    <w:basedOn w:val="1"/>
    <w:qFormat/>
    <w:uiPriority w:val="0"/>
    <w:pPr>
      <w:widowControl w:val="0"/>
      <w:adjustRightInd w:val="0"/>
      <w:spacing w:after="160" w:line="240" w:lineRule="exact"/>
      <w:ind w:firstLine="640"/>
      <w:jc w:val="left"/>
    </w:pPr>
    <w:rPr>
      <w:rFonts w:ascii="Verdana" w:hAnsi="Verdana" w:eastAsia="宋体" w:cs="Times New Roman"/>
      <w:color w:val="000000"/>
      <w:kern w:val="0"/>
      <w:sz w:val="20"/>
      <w:lang w:eastAsia="en-US"/>
    </w:rPr>
  </w:style>
  <w:style w:type="paragraph" w:customStyle="1" w:styleId="79">
    <w:name w:val="Char"/>
    <w:basedOn w:val="1"/>
    <w:qFormat/>
    <w:uiPriority w:val="0"/>
    <w:pPr>
      <w:widowControl w:val="0"/>
      <w:ind w:firstLine="640"/>
      <w:jc w:val="left"/>
    </w:pPr>
    <w:rPr>
      <w:rFonts w:ascii="仿宋_GB2312" w:hAnsi="宋体" w:eastAsia="宋体" w:cs="Times New Roman"/>
      <w:color w:val="000000"/>
      <w:sz w:val="21"/>
      <w:szCs w:val="24"/>
    </w:rPr>
  </w:style>
  <w:style w:type="character" w:customStyle="1" w:styleId="80">
    <w:name w:val="Placeholder Text"/>
    <w:basedOn w:val="37"/>
    <w:semiHidden/>
    <w:qFormat/>
    <w:uiPriority w:val="99"/>
    <w:rPr>
      <w:color w:val="808080"/>
    </w:rPr>
  </w:style>
  <w:style w:type="paragraph" w:customStyle="1" w:styleId="81">
    <w:name w:val="TOC 标题1"/>
    <w:basedOn w:val="2"/>
    <w:next w:val="1"/>
    <w:unhideWhenUsed/>
    <w:qFormat/>
    <w:uiPriority w:val="39"/>
    <w:pPr>
      <w:keepLines/>
      <w:spacing w:before="480" w:line="276" w:lineRule="auto"/>
      <w:ind w:firstLine="0"/>
      <w:jc w:val="left"/>
      <w:outlineLvl w:val="9"/>
    </w:pPr>
    <w:rPr>
      <w:rFonts w:ascii="Cambria" w:hAnsi="Cambria" w:eastAsia="宋体" w:cs="Times New Roman"/>
      <w:bCs/>
      <w:color w:val="366091"/>
      <w:kern w:val="0"/>
      <w:sz w:val="28"/>
      <w:szCs w:val="28"/>
    </w:rPr>
  </w:style>
  <w:style w:type="paragraph" w:customStyle="1" w:styleId="82">
    <w:name w:val="List Paragraph"/>
    <w:basedOn w:val="1"/>
    <w:link w:val="130"/>
    <w:qFormat/>
    <w:uiPriority w:val="34"/>
    <w:pPr>
      <w:widowControl w:val="0"/>
      <w:ind w:firstLine="420"/>
      <w:jc w:val="left"/>
    </w:pPr>
    <w:rPr>
      <w:rFonts w:ascii="仿宋_GB2312" w:hAnsi="宋体" w:eastAsia="仿宋_GB2312" w:cs="Times New Roman"/>
      <w:color w:val="000000"/>
    </w:rPr>
  </w:style>
  <w:style w:type="paragraph" w:customStyle="1" w:styleId="83">
    <w:name w:val="a"/>
    <w:basedOn w:val="1"/>
    <w:qFormat/>
    <w:uiPriority w:val="0"/>
    <w:pPr>
      <w:spacing w:before="100" w:beforeAutospacing="1" w:after="100" w:afterAutospacing="1" w:line="240" w:lineRule="auto"/>
      <w:ind w:firstLine="0" w:firstLineChars="0"/>
      <w:jc w:val="left"/>
    </w:pPr>
    <w:rPr>
      <w:rFonts w:hint="eastAsia" w:ascii="宋体" w:hAnsi="宋体" w:eastAsia="宋体" w:cs="Times New Roman"/>
      <w:color w:val="0F0000"/>
      <w:kern w:val="0"/>
      <w:sz w:val="24"/>
      <w:szCs w:val="20"/>
    </w:rPr>
  </w:style>
  <w:style w:type="table" w:customStyle="1" w:styleId="84">
    <w:name w:val="网格型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5">
    <w:name w:val="样式 正文缩进正文（首行缩进两字）四号四号1四号2四号11特点正文非缩进段1ALT+ZPI正文文字首行缩进...2"/>
    <w:basedOn w:val="10"/>
    <w:qFormat/>
    <w:uiPriority w:val="0"/>
  </w:style>
  <w:style w:type="character" w:customStyle="1" w:styleId="86">
    <w:name w:val="font_14"/>
    <w:basedOn w:val="37"/>
    <w:qFormat/>
    <w:uiPriority w:val="0"/>
  </w:style>
  <w:style w:type="character" w:customStyle="1" w:styleId="87">
    <w:name w:val="p1481"/>
    <w:qFormat/>
    <w:uiPriority w:val="0"/>
    <w:rPr>
      <w:color w:val="515151"/>
      <w:sz w:val="22"/>
      <w:szCs w:val="22"/>
    </w:rPr>
  </w:style>
  <w:style w:type="paragraph" w:customStyle="1" w:styleId="88">
    <w:name w:val="Char Char Char Char Char Char Char"/>
    <w:basedOn w:val="1"/>
    <w:qFormat/>
    <w:uiPriority w:val="0"/>
    <w:pPr>
      <w:widowControl w:val="0"/>
      <w:tabs>
        <w:tab w:val="left" w:pos="840"/>
      </w:tabs>
      <w:spacing w:line="240" w:lineRule="auto"/>
      <w:ind w:left="840" w:hanging="420" w:firstLineChars="0"/>
    </w:pPr>
    <w:rPr>
      <w:rFonts w:ascii="Times New Roman" w:hAnsi="Times New Roman" w:eastAsia="宋体" w:cs="Times New Roman"/>
      <w:sz w:val="24"/>
      <w:szCs w:val="24"/>
    </w:rPr>
  </w:style>
  <w:style w:type="paragraph" w:customStyle="1" w:styleId="89">
    <w:name w:val="Char Char Char Char Char Char Char Char Char Char"/>
    <w:basedOn w:val="1"/>
    <w:qFormat/>
    <w:uiPriority w:val="0"/>
    <w:pPr>
      <w:widowControl w:val="0"/>
      <w:spacing w:line="240" w:lineRule="auto"/>
      <w:ind w:firstLine="0" w:firstLineChars="0"/>
    </w:pPr>
    <w:rPr>
      <w:rFonts w:ascii="Tahoma" w:hAnsi="Tahoma" w:eastAsia="宋体" w:cs="Times New Roman"/>
      <w:sz w:val="24"/>
      <w:szCs w:val="20"/>
    </w:rPr>
  </w:style>
  <w:style w:type="paragraph" w:customStyle="1" w:styleId="90">
    <w:name w:val="标题3"/>
    <w:basedOn w:val="1"/>
    <w:qFormat/>
    <w:uiPriority w:val="0"/>
    <w:pPr>
      <w:widowControl w:val="0"/>
      <w:spacing w:line="240" w:lineRule="auto"/>
    </w:pPr>
    <w:rPr>
      <w:rFonts w:ascii="Times New Roman" w:hAnsi="Times New Roman" w:eastAsia="黑体" w:cs="Times New Roman"/>
      <w:sz w:val="24"/>
      <w:szCs w:val="24"/>
    </w:rPr>
  </w:style>
  <w:style w:type="paragraph" w:customStyle="1" w:styleId="91">
    <w:name w:val="contentarticle"/>
    <w:basedOn w:val="1"/>
    <w:qFormat/>
    <w:uiPriority w:val="0"/>
    <w:pPr>
      <w:spacing w:before="150" w:after="150" w:line="240" w:lineRule="auto"/>
      <w:ind w:firstLine="0" w:firstLineChars="0"/>
      <w:jc w:val="left"/>
    </w:pPr>
    <w:rPr>
      <w:rFonts w:ascii="宋体" w:hAnsi="宋体" w:eastAsia="宋体" w:cs="宋体"/>
      <w:kern w:val="0"/>
      <w:sz w:val="24"/>
      <w:szCs w:val="24"/>
    </w:rPr>
  </w:style>
  <w:style w:type="paragraph" w:customStyle="1" w:styleId="92">
    <w:name w:val="列出段落1"/>
    <w:basedOn w:val="1"/>
    <w:qFormat/>
    <w:uiPriority w:val="0"/>
    <w:pPr>
      <w:widowControl w:val="0"/>
      <w:spacing w:line="240" w:lineRule="auto"/>
      <w:ind w:firstLine="420"/>
    </w:pPr>
    <w:rPr>
      <w:rFonts w:ascii="Times New Roman" w:hAnsi="Times New Roman" w:eastAsia="宋体" w:cs="Times New Roman"/>
      <w:sz w:val="21"/>
      <w:szCs w:val="24"/>
    </w:rPr>
  </w:style>
  <w:style w:type="paragraph" w:customStyle="1" w:styleId="93">
    <w:name w:val="样式1"/>
    <w:basedOn w:val="3"/>
    <w:qFormat/>
    <w:uiPriority w:val="0"/>
    <w:pPr>
      <w:keepNext/>
      <w:keepLines/>
      <w:widowControl w:val="0"/>
      <w:tabs>
        <w:tab w:val="left" w:pos="360"/>
      </w:tabs>
      <w:spacing w:before="260" w:after="260" w:line="416" w:lineRule="auto"/>
      <w:ind w:left="360" w:hanging="360" w:firstLineChars="0"/>
    </w:pPr>
    <w:rPr>
      <w:rFonts w:ascii="Arial" w:hAnsi="Arial" w:eastAsia="黑体" w:cs="Times New Roman"/>
      <w:b/>
      <w:bCs/>
      <w:sz w:val="30"/>
    </w:rPr>
  </w:style>
  <w:style w:type="paragraph" w:customStyle="1" w:styleId="94">
    <w:name w:val="样式2"/>
    <w:basedOn w:val="4"/>
    <w:qFormat/>
    <w:uiPriority w:val="0"/>
    <w:pPr>
      <w:tabs>
        <w:tab w:val="left" w:pos="1571"/>
        <w:tab w:val="clear" w:pos="924"/>
        <w:tab w:val="clear" w:pos="7230"/>
      </w:tabs>
      <w:adjustRightInd/>
      <w:spacing w:before="260" w:after="260" w:line="416" w:lineRule="auto"/>
      <w:ind w:left="1418" w:hanging="567"/>
      <w:jc w:val="both"/>
      <w:textAlignment w:val="auto"/>
    </w:pPr>
    <w:rPr>
      <w:rFonts w:ascii="Times New Roman" w:hAnsi="Times New Roman" w:eastAsia="宋体"/>
      <w:b/>
      <w:color w:val="auto"/>
      <w:sz w:val="30"/>
      <w:szCs w:val="18"/>
    </w:rPr>
  </w:style>
  <w:style w:type="paragraph" w:customStyle="1" w:styleId="95">
    <w:name w:val="样式3"/>
    <w:basedOn w:val="5"/>
    <w:qFormat/>
    <w:uiPriority w:val="0"/>
    <w:rPr>
      <w:sz w:val="30"/>
    </w:rPr>
  </w:style>
  <w:style w:type="paragraph" w:customStyle="1" w:styleId="96">
    <w:name w:val="1.1"/>
    <w:basedOn w:val="3"/>
    <w:qFormat/>
    <w:uiPriority w:val="0"/>
    <w:pPr>
      <w:keepNext/>
      <w:keepLines/>
      <w:widowControl w:val="0"/>
      <w:spacing w:before="260" w:after="260" w:line="416" w:lineRule="auto"/>
      <w:ind w:firstLine="0" w:firstLineChars="0"/>
    </w:pPr>
    <w:rPr>
      <w:rFonts w:ascii="Arial" w:hAnsi="Arial" w:eastAsia="黑体" w:cs="Times New Roman"/>
      <w:b/>
      <w:bCs/>
      <w:sz w:val="30"/>
    </w:rPr>
  </w:style>
  <w:style w:type="paragraph" w:customStyle="1" w:styleId="97">
    <w:name w:val="样式 正文文本缩进 + 首行缩进:  2 字符"/>
    <w:basedOn w:val="14"/>
    <w:qFormat/>
    <w:uiPriority w:val="0"/>
    <w:pPr>
      <w:autoSpaceDE w:val="0"/>
      <w:autoSpaceDN w:val="0"/>
      <w:adjustRightInd w:val="0"/>
      <w:spacing w:line="240" w:lineRule="auto"/>
      <w:ind w:firstLine="600"/>
      <w:jc w:val="both"/>
    </w:pPr>
    <w:rPr>
      <w:rFonts w:ascii="Times New Roman" w:hAnsi="Times New Roman" w:cs="宋体"/>
      <w:color w:val="auto"/>
      <w:sz w:val="30"/>
      <w:szCs w:val="20"/>
    </w:rPr>
  </w:style>
  <w:style w:type="paragraph" w:customStyle="1" w:styleId="98">
    <w:name w:val="样式 标题 3 + 左侧:  2.5 字符"/>
    <w:basedOn w:val="4"/>
    <w:qFormat/>
    <w:uiPriority w:val="0"/>
    <w:pPr>
      <w:tabs>
        <w:tab w:val="left" w:pos="1571"/>
        <w:tab w:val="clear" w:pos="924"/>
        <w:tab w:val="clear" w:pos="7230"/>
      </w:tabs>
      <w:adjustRightInd/>
      <w:spacing w:before="0" w:after="0" w:line="240" w:lineRule="auto"/>
      <w:ind w:left="250" w:leftChars="250" w:hanging="567"/>
      <w:jc w:val="both"/>
      <w:textAlignment w:val="auto"/>
    </w:pPr>
    <w:rPr>
      <w:rFonts w:ascii="Times New Roman" w:hAnsi="Times New Roman" w:eastAsia="仿宋_GB2312" w:cs="宋体"/>
      <w:b/>
      <w:sz w:val="30"/>
      <w:szCs w:val="20"/>
    </w:rPr>
  </w:style>
  <w:style w:type="paragraph" w:customStyle="1" w:styleId="99">
    <w:name w:val="列出段落2"/>
    <w:basedOn w:val="1"/>
    <w:qFormat/>
    <w:uiPriority w:val="0"/>
    <w:pPr>
      <w:spacing w:after="200" w:line="240" w:lineRule="auto"/>
      <w:ind w:left="720" w:leftChars="400" w:firstLine="0" w:firstLineChars="0"/>
      <w:jc w:val="left"/>
    </w:pPr>
    <w:rPr>
      <w:rFonts w:ascii="Cambria" w:hAnsi="Cambria" w:eastAsia="MS Mincho" w:cs="Times New Roman"/>
      <w:kern w:val="0"/>
      <w:sz w:val="24"/>
      <w:szCs w:val="24"/>
      <w:lang w:eastAsia="ja-JP"/>
    </w:rPr>
  </w:style>
  <w:style w:type="character" w:customStyle="1" w:styleId="100">
    <w:name w:val="样式 正文文本缩进 + 首行缩进:  2 字符 Char"/>
    <w:qFormat/>
    <w:uiPriority w:val="0"/>
    <w:rPr>
      <w:rFonts w:eastAsia="仿宋_GB2312" w:cs="宋体"/>
      <w:kern w:val="2"/>
      <w:sz w:val="30"/>
      <w:lang w:val="en-US" w:eastAsia="zh-CN" w:bidi="ar-SA"/>
    </w:rPr>
  </w:style>
  <w:style w:type="paragraph" w:customStyle="1" w:styleId="101">
    <w:name w:val="样式 样式 样式 样式 标题 1 + 段前: 自动 段后: 自动 + 首行缩进:  2 字符 + 首行缩进:  2 字符 + 左..."/>
    <w:basedOn w:val="1"/>
    <w:qFormat/>
    <w:uiPriority w:val="0"/>
    <w:pPr>
      <w:spacing w:line="576" w:lineRule="auto"/>
      <w:ind w:left="567" w:firstLine="0" w:firstLineChars="0"/>
      <w:outlineLvl w:val="0"/>
    </w:pPr>
    <w:rPr>
      <w:rFonts w:ascii="宋体" w:hAnsi="宋体" w:eastAsia="黑体" w:cs="宋体"/>
      <w:bCs/>
      <w:kern w:val="36"/>
      <w:szCs w:val="20"/>
    </w:rPr>
  </w:style>
  <w:style w:type="paragraph" w:customStyle="1" w:styleId="102">
    <w:name w:val="标题1"/>
    <w:basedOn w:val="101"/>
    <w:next w:val="2"/>
    <w:qFormat/>
    <w:uiPriority w:val="0"/>
    <w:pPr>
      <w:tabs>
        <w:tab w:val="left" w:pos="1050"/>
        <w:tab w:val="left" w:pos="1260"/>
        <w:tab w:val="left" w:pos="1440"/>
      </w:tabs>
      <w:spacing w:line="480" w:lineRule="auto"/>
      <w:ind w:left="1440" w:hanging="960"/>
    </w:pPr>
    <w:rPr>
      <w:rFonts w:ascii="Times New Roman" w:hAnsi="Times New Roman" w:eastAsia="宋体" w:cs="Times New Roman"/>
      <w:b/>
      <w:bCs w:val="0"/>
      <w:kern w:val="2"/>
      <w:sz w:val="28"/>
      <w:szCs w:val="28"/>
    </w:rPr>
  </w:style>
  <w:style w:type="character" w:customStyle="1" w:styleId="103">
    <w:name w:val="1.1 Char"/>
    <w:qFormat/>
    <w:uiPriority w:val="0"/>
    <w:rPr>
      <w:rFonts w:ascii="Arial" w:hAnsi="Arial" w:eastAsia="黑体"/>
      <w:b/>
      <w:bCs/>
      <w:kern w:val="2"/>
      <w:sz w:val="30"/>
      <w:szCs w:val="32"/>
      <w:lang w:val="en-US" w:eastAsia="zh-CN" w:bidi="ar-SA"/>
    </w:rPr>
  </w:style>
  <w:style w:type="paragraph" w:customStyle="1" w:styleId="104">
    <w:name w:val="MTDisplayEquation"/>
    <w:basedOn w:val="1"/>
    <w:next w:val="1"/>
    <w:qFormat/>
    <w:uiPriority w:val="0"/>
    <w:pPr>
      <w:widowControl w:val="0"/>
      <w:tabs>
        <w:tab w:val="center" w:pos="5720"/>
        <w:tab w:val="right" w:pos="9020"/>
      </w:tabs>
      <w:snapToGrid w:val="0"/>
      <w:ind w:left="2399" w:leftChars="228" w:hanging="1920" w:hangingChars="800"/>
    </w:pPr>
    <w:rPr>
      <w:rFonts w:ascii="仿宋_GB2312" w:hAnsi="Times New Roman" w:eastAsia="仿宋_GB2312" w:cs="Times New Roman"/>
      <w:sz w:val="24"/>
      <w:szCs w:val="24"/>
    </w:rPr>
  </w:style>
  <w:style w:type="paragraph" w:customStyle="1" w:styleId="105">
    <w:name w:val="样式4"/>
    <w:basedOn w:val="3"/>
    <w:qFormat/>
    <w:uiPriority w:val="0"/>
    <w:pPr>
      <w:keepNext/>
      <w:keepLines/>
      <w:widowControl w:val="0"/>
      <w:tabs>
        <w:tab w:val="left" w:pos="992"/>
      </w:tabs>
      <w:spacing w:before="260" w:after="260" w:line="416" w:lineRule="auto"/>
      <w:ind w:left="992" w:hanging="567" w:firstLineChars="0"/>
    </w:pPr>
    <w:rPr>
      <w:rFonts w:ascii="Arial" w:hAnsi="Arial" w:eastAsia="黑体" w:cs="Times New Roman"/>
      <w:b/>
      <w:bCs/>
    </w:rPr>
  </w:style>
  <w:style w:type="paragraph" w:customStyle="1" w:styleId="106">
    <w:name w:val="Char Char Char"/>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07">
    <w:name w:val="htd01"/>
    <w:qFormat/>
    <w:uiPriority w:val="0"/>
  </w:style>
  <w:style w:type="paragraph" w:customStyle="1" w:styleId="108">
    <w:name w:val="标题4"/>
    <w:basedOn w:val="3"/>
    <w:qFormat/>
    <w:uiPriority w:val="0"/>
    <w:pPr>
      <w:keepNext/>
      <w:keepLines/>
      <w:widowControl w:val="0"/>
      <w:spacing w:beforeLines="50" w:afterLines="50" w:line="540" w:lineRule="exact"/>
      <w:ind w:firstLine="0" w:firstLineChars="0"/>
      <w:jc w:val="center"/>
    </w:pPr>
    <w:rPr>
      <w:rFonts w:ascii="Arial" w:hAnsi="Arial" w:eastAsia="黑体" w:cs="Times New Roman"/>
      <w:b/>
      <w:bCs/>
      <w:sz w:val="28"/>
    </w:rPr>
  </w:style>
  <w:style w:type="paragraph" w:customStyle="1" w:styleId="109">
    <w:name w:val="Char1 Char Char Char"/>
    <w:basedOn w:val="1"/>
    <w:qFormat/>
    <w:uiPriority w:val="0"/>
    <w:pPr>
      <w:widowControl w:val="0"/>
      <w:spacing w:line="240" w:lineRule="auto"/>
      <w:ind w:firstLine="0" w:firstLineChars="0"/>
    </w:pPr>
    <w:rPr>
      <w:rFonts w:ascii="仿宋_GB2312" w:hAnsi="Times New Roman" w:eastAsia="仿宋_GB2312" w:cs="Times New Roman"/>
      <w:b/>
    </w:rPr>
  </w:style>
  <w:style w:type="paragraph" w:customStyle="1" w:styleId="110">
    <w:name w:val="Char Char"/>
    <w:basedOn w:val="3"/>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1">
    <w:name w:val="Char1 Char Char Char Char Char Char"/>
    <w:basedOn w:val="3"/>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2">
    <w:name w:val="段"/>
    <w:link w:val="11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3">
    <w:name w:val="段 Char"/>
    <w:link w:val="112"/>
    <w:qFormat/>
    <w:locked/>
    <w:uiPriority w:val="0"/>
    <w:rPr>
      <w:rFonts w:ascii="宋体" w:hAnsi="Times New Roman" w:eastAsia="宋体" w:cs="Times New Roman"/>
      <w:sz w:val="21"/>
    </w:rPr>
  </w:style>
  <w:style w:type="paragraph" w:customStyle="1" w:styleId="11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Char Char4"/>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16">
    <w:name w:val="test1"/>
    <w:qFormat/>
    <w:uiPriority w:val="0"/>
  </w:style>
  <w:style w:type="paragraph" w:customStyle="1" w:styleId="117">
    <w:name w:val="Char Char Char Char1 Char Char Char Char Char Char Char Char Char Char Char Char Char Char Char1 Char Char Char"/>
    <w:basedOn w:val="1"/>
    <w:qFormat/>
    <w:uiPriority w:val="0"/>
    <w:pPr>
      <w:widowControl w:val="0"/>
      <w:spacing w:line="240" w:lineRule="auto"/>
      <w:ind w:firstLine="0" w:firstLineChars="0"/>
    </w:pPr>
    <w:rPr>
      <w:rFonts w:ascii="Tahoma" w:hAnsi="Tahoma" w:eastAsia="宋体" w:cs="Times New Roman"/>
      <w:sz w:val="24"/>
      <w:szCs w:val="20"/>
    </w:rPr>
  </w:style>
  <w:style w:type="paragraph" w:customStyle="1" w:styleId="118">
    <w:name w:val="Char Char1 Char Char Char Char"/>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19">
    <w:name w:val="hei141"/>
    <w:qFormat/>
    <w:uiPriority w:val="0"/>
    <w:rPr>
      <w:rFonts w:hint="eastAsia" w:ascii="宋体" w:hAnsi="宋体" w:eastAsia="宋体"/>
      <w:color w:val="000000"/>
      <w:sz w:val="21"/>
      <w:szCs w:val="21"/>
      <w:u w:val="none"/>
    </w:rPr>
  </w:style>
  <w:style w:type="paragraph" w:customStyle="1" w:styleId="120">
    <w:name w:val="正文1"/>
    <w:basedOn w:val="1"/>
    <w:qFormat/>
    <w:uiPriority w:val="0"/>
    <w:pPr>
      <w:wordWrap w:val="0"/>
      <w:spacing w:before="150" w:after="100" w:afterAutospacing="1" w:line="432" w:lineRule="auto"/>
      <w:ind w:firstLine="480" w:firstLineChars="0"/>
      <w:jc w:val="left"/>
    </w:pPr>
    <w:rPr>
      <w:rFonts w:ascii="宋体" w:hAnsi="宋体" w:eastAsia="宋体" w:cs="宋体"/>
      <w:kern w:val="0"/>
      <w:sz w:val="21"/>
      <w:szCs w:val="21"/>
    </w:rPr>
  </w:style>
  <w:style w:type="paragraph" w:customStyle="1" w:styleId="121">
    <w:name w:val="Char Char Char Char1 Char Char"/>
    <w:basedOn w:val="1"/>
    <w:qFormat/>
    <w:uiPriority w:val="0"/>
    <w:pPr>
      <w:widowControl w:val="0"/>
      <w:ind w:firstLine="0" w:firstLineChars="0"/>
    </w:pPr>
    <w:rPr>
      <w:rFonts w:ascii="宋体" w:hAnsi="宋体" w:eastAsia="宋体" w:cs="Times New Roman"/>
      <w:sz w:val="22"/>
      <w:szCs w:val="24"/>
    </w:rPr>
  </w:style>
  <w:style w:type="paragraph" w:customStyle="1" w:styleId="122">
    <w:name w:val="样式5"/>
    <w:basedOn w:val="1"/>
    <w:qFormat/>
    <w:uiPriority w:val="0"/>
    <w:pPr>
      <w:widowControl w:val="0"/>
      <w:spacing w:line="520" w:lineRule="exact"/>
      <w:ind w:firstLine="0" w:firstLineChars="0"/>
      <w:jc w:val="center"/>
      <w:outlineLvl w:val="4"/>
    </w:pPr>
    <w:rPr>
      <w:rFonts w:ascii="Times New Roman" w:hAnsi="Times New Roman" w:eastAsia="楷体_GB2312" w:cs="Times New Roman"/>
      <w:bCs/>
      <w:sz w:val="28"/>
      <w:szCs w:val="28"/>
    </w:rPr>
  </w:style>
  <w:style w:type="paragraph" w:customStyle="1" w:styleId="123">
    <w:name w:val="Char Char1 Char Char Char Char1 Char Char Char Char Char Char Char Char1"/>
    <w:basedOn w:val="11"/>
    <w:qFormat/>
    <w:uiPriority w:val="0"/>
    <w:pPr>
      <w:ind w:firstLine="480"/>
      <w:jc w:val="both"/>
    </w:pPr>
    <w:rPr>
      <w:rFonts w:ascii="Times New Roman" w:hAnsi="Times New Roman" w:eastAsia="宋体"/>
      <w:color w:val="auto"/>
      <w:sz w:val="21"/>
      <w:szCs w:val="24"/>
    </w:rPr>
  </w:style>
  <w:style w:type="paragraph" w:customStyle="1" w:styleId="124">
    <w:name w:val="_Style 2"/>
    <w:basedOn w:val="1"/>
    <w:qFormat/>
    <w:uiPriority w:val="0"/>
    <w:pPr>
      <w:widowControl w:val="0"/>
      <w:adjustRightInd w:val="0"/>
      <w:spacing w:line="240" w:lineRule="auto"/>
      <w:ind w:firstLine="0" w:firstLineChars="0"/>
    </w:pPr>
    <w:rPr>
      <w:rFonts w:ascii="Times New Roman" w:hAnsi="Times New Roman" w:eastAsia="宋体" w:cs="Times New Roman"/>
      <w:sz w:val="21"/>
      <w:szCs w:val="24"/>
    </w:rPr>
  </w:style>
  <w:style w:type="character" w:customStyle="1" w:styleId="125">
    <w:name w:val="批注文字 Char1"/>
    <w:qFormat/>
    <w:uiPriority w:val="0"/>
    <w:rPr>
      <w:rFonts w:ascii="Times New Roman" w:hAnsi="Times New Roman" w:eastAsia="宋体" w:cs="Times New Roman"/>
      <w:szCs w:val="24"/>
    </w:rPr>
  </w:style>
  <w:style w:type="character" w:customStyle="1" w:styleId="126">
    <w:name w:val="批注主题 Char1"/>
    <w:qFormat/>
    <w:uiPriority w:val="0"/>
    <w:rPr>
      <w:b/>
      <w:bCs/>
      <w:kern w:val="2"/>
      <w:sz w:val="21"/>
      <w:szCs w:val="24"/>
    </w:rPr>
  </w:style>
  <w:style w:type="paragraph" w:customStyle="1" w:styleId="127">
    <w:name w:val="修订1"/>
    <w:semiHidden/>
    <w:qFormat/>
    <w:uiPriority w:val="99"/>
    <w:rPr>
      <w:rFonts w:ascii="Times New Roman" w:hAnsi="Times New Roman" w:eastAsia="宋体" w:cs="Times New Roman"/>
      <w:kern w:val="2"/>
      <w:sz w:val="21"/>
      <w:szCs w:val="24"/>
      <w:lang w:val="en-US" w:eastAsia="zh-CN" w:bidi="ar-SA"/>
    </w:rPr>
  </w:style>
  <w:style w:type="table" w:customStyle="1" w:styleId="128">
    <w:name w:val="网格型2"/>
    <w:basedOn w:val="4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9">
    <w:name w:val="网格型3"/>
    <w:basedOn w:val="4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0">
    <w:name w:val="列出段落 Char"/>
    <w:basedOn w:val="37"/>
    <w:link w:val="82"/>
    <w:qFormat/>
    <w:uiPriority w:val="34"/>
    <w:rPr>
      <w:rFonts w:ascii="仿宋_GB2312" w:hAnsi="宋体" w:eastAsia="仿宋_GB2312"/>
      <w:color w:val="000000"/>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FBEE3-8371-4F12-B943-5B7D2AF01FB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19</Pages>
  <Words>1735</Words>
  <Characters>9893</Characters>
  <Lines>82</Lines>
  <Paragraphs>23</Paragraphs>
  <TotalTime>0</TotalTime>
  <ScaleCrop>false</ScaleCrop>
  <LinksUpToDate>false</LinksUpToDate>
  <CharactersWithSpaces>11605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2022-04-17T02:11:00Z</dcterms:created>
  <dc:creator>chj</dc:creator>
  <cp:lastModifiedBy>Administrator</cp:lastModifiedBy>
  <cp:lastPrinted>2024-05-27T02:51:00Z</cp:lastPrinted>
  <dcterms:modified xsi:type="dcterms:W3CDTF">2024-05-30T06:35:24Z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380AFA3EAA17C1D79DAB28662BE7CF1F</vt:lpwstr>
  </property>
</Properties>
</file>