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435FF">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黄山市人民政府关于公布被征收土地地上</w:t>
      </w:r>
    </w:p>
    <w:p w14:paraId="1E522670">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附着物及青苗等补偿标准的通知</w:t>
      </w:r>
    </w:p>
    <w:p w14:paraId="235F7709">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（送审稿）</w:t>
      </w:r>
    </w:p>
    <w:p w14:paraId="543855C4">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14:paraId="27FE20F5">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人民政府:</w:t>
      </w:r>
    </w:p>
    <w:p w14:paraId="19D886D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根据《安徽省实施《中华人民共和国土地管理法》办法》《安徽省土地征收及补偿安置办法》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省政府令第317号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等规定，市人民政府组织制定了我市被征收土地地上附着物及青苗等补偿标准，已报省人民政府批准，现子以公布，并就有关事项通知如下:</w:t>
      </w:r>
    </w:p>
    <w:p w14:paraId="17B4B29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一、本市行政区域内被征收土地地上附着物及青苗等补偿，按本通知公布的标准执行。</w:t>
      </w:r>
    </w:p>
    <w:p w14:paraId="007BDC8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镇企业、</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村公共设施、公益事业等乡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村建设使用农民集体土地，涉及地上附着物及青苗等补偿，参照本标准执行。</w:t>
      </w:r>
    </w:p>
    <w:p w14:paraId="5B09E64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三、本市行政区域内被征收土地上农村村民住宅以外的房屋补偿，可参照当地农村村民住宅补偿采用评估方式确定补偿标准。</w:t>
      </w:r>
    </w:p>
    <w:p w14:paraId="23C80B9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四、使用国有农、林、牧、渔场土地的，涉及地上附着物及青苗等补偿，可参照本标准执行。</w:t>
      </w:r>
    </w:p>
    <w:p w14:paraId="787A117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五、本通知公布的标准自202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年XX月XX日起执行，</w:t>
      </w:r>
    </w:p>
    <w:p w14:paraId="3279ACD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14:paraId="77228C4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1.青苗补偿标准</w:t>
      </w:r>
    </w:p>
    <w:p w14:paraId="4375A150">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2.零星树木补偿标准</w:t>
      </w:r>
    </w:p>
    <w:p w14:paraId="358FB758">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3.成片树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木补偿标准</w:t>
      </w:r>
    </w:p>
    <w:p w14:paraId="1C5B9EB7">
      <w:pPr>
        <w:keepNext w:val="0"/>
        <w:keepLines w:val="0"/>
        <w:pageBreakBefore w:val="0"/>
        <w:widowControl w:val="0"/>
        <w:kinsoku/>
        <w:wordWrap/>
        <w:overflowPunct/>
        <w:topLinePunct w:val="0"/>
        <w:autoSpaceDE/>
        <w:autoSpaceDN/>
        <w:bidi w:val="0"/>
        <w:adjustRightInd/>
        <w:snapToGrid/>
        <w:spacing w:line="572"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4.其他地上附着物补偿标准</w:t>
      </w:r>
    </w:p>
    <w:p w14:paraId="5FD5D1B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14:paraId="54F2A9D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p>
    <w:p w14:paraId="55B11542">
      <w:pPr>
        <w:keepNext w:val="0"/>
        <w:keepLines w:val="0"/>
        <w:pageBreakBefore w:val="0"/>
        <w:widowControl w:val="0"/>
        <w:kinsoku/>
        <w:wordWrap/>
        <w:overflowPunct/>
        <w:topLinePunct w:val="0"/>
        <w:autoSpaceDE/>
        <w:autoSpaceDN/>
        <w:bidi w:val="0"/>
        <w:adjustRightInd/>
        <w:snapToGrid/>
        <w:spacing w:line="572"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年XX月XX日</w:t>
      </w:r>
    </w:p>
    <w:p w14:paraId="73A63DEE">
      <w:pPr>
        <w:keepNext w:val="0"/>
        <w:keepLines w:val="0"/>
        <w:pageBreakBefore w:val="0"/>
        <w:widowControl w:val="0"/>
        <w:kinsoku/>
        <w:wordWrap/>
        <w:overflowPunct/>
        <w:topLinePunct w:val="0"/>
        <w:autoSpaceDE/>
        <w:autoSpaceDN/>
        <w:bidi w:val="0"/>
        <w:adjustRightInd/>
        <w:snapToGrid/>
        <w:spacing w:line="572" w:lineRule="exact"/>
        <w:ind w:firstLine="4800" w:firstLineChars="1500"/>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cols w:space="425" w:num="1"/>
          <w:docGrid w:type="lines" w:linePitch="312" w:charSpace="0"/>
        </w:sectPr>
      </w:pPr>
    </w:p>
    <w:p w14:paraId="4D983FB6">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w:t>
      </w:r>
    </w:p>
    <w:p w14:paraId="06071414">
      <w:pPr>
        <w:keepNext w:val="0"/>
        <w:keepLines w:val="0"/>
        <w:pageBreakBefore w:val="0"/>
        <w:widowControl w:val="0"/>
        <w:kinsoku/>
        <w:wordWrap/>
        <w:overflowPunct/>
        <w:topLinePunct w:val="0"/>
        <w:autoSpaceDE/>
        <w:autoSpaceDN/>
        <w:bidi w:val="0"/>
        <w:adjustRightInd/>
        <w:snapToGrid/>
        <w:spacing w:after="157" w:afterLines="50" w:line="572" w:lineRule="exact"/>
        <w:jc w:val="center"/>
        <w:textAlignment w:val="auto"/>
        <w:rPr>
          <w:rFonts w:hint="default" w:ascii="黑体" w:hAnsi="宋体" w:eastAsia="黑体" w:cs="黑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青苗补偿标准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3"/>
        <w:gridCol w:w="6068"/>
        <w:gridCol w:w="2991"/>
        <w:gridCol w:w="2035"/>
      </w:tblGrid>
      <w:tr w14:paraId="01AB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9B43">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类  别</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9764">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含  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5960">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补偿标准（元/亩）</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FE2C">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备  注</w:t>
            </w:r>
          </w:p>
        </w:tc>
      </w:tr>
      <w:tr w14:paraId="63A7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9E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3B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水田指用于种植水稻、莲藕等水生农作物的耕地，包括实行水生、旱生农作物轮种的</w:t>
            </w:r>
            <w:r>
              <w:rPr>
                <w:rFonts w:hint="eastAsia" w:ascii="宋体" w:hAnsi="宋体" w:eastAsia="宋体" w:cs="宋体"/>
                <w:i w:val="0"/>
                <w:iCs w:val="0"/>
                <w:color w:val="000000"/>
                <w:sz w:val="28"/>
                <w:szCs w:val="28"/>
                <w:u w:val="none"/>
                <w:lang w:val="en-US" w:eastAsia="zh-CN"/>
              </w:rPr>
              <w:t>耕地</w:t>
            </w:r>
            <w:r>
              <w:rPr>
                <w:rFonts w:hint="eastAsia" w:ascii="宋体" w:hAnsi="宋体" w:eastAsia="宋体" w:cs="宋体"/>
                <w:i w:val="0"/>
                <w:iCs w:val="0"/>
                <w:color w:val="000000"/>
                <w:kern w:val="0"/>
                <w:sz w:val="28"/>
                <w:szCs w:val="28"/>
                <w:u w:val="none"/>
                <w:lang w:val="en-US" w:eastAsia="zh-CN" w:bidi="ar"/>
              </w:rPr>
              <w:t>。</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DC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8ABC">
            <w:pPr>
              <w:jc w:val="center"/>
              <w:rPr>
                <w:rFonts w:hint="eastAsia" w:ascii="宋体" w:hAnsi="宋体" w:eastAsia="宋体" w:cs="宋体"/>
                <w:i w:val="0"/>
                <w:iCs w:val="0"/>
                <w:color w:val="000000"/>
                <w:sz w:val="28"/>
                <w:szCs w:val="28"/>
                <w:u w:val="none"/>
              </w:rPr>
            </w:pPr>
          </w:p>
        </w:tc>
      </w:tr>
      <w:tr w14:paraId="4376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84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旱地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0D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旱地指无灌溉设施,主要靠天然降水种植旱生农作物的耕地，包括没有灌溉设施，仅靠引洪淤灌的耕地。</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92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316E">
            <w:pPr>
              <w:rPr>
                <w:rFonts w:hint="eastAsia" w:ascii="宋体" w:hAnsi="宋体" w:eastAsia="宋体" w:cs="宋体"/>
                <w:i w:val="0"/>
                <w:iCs w:val="0"/>
                <w:color w:val="000000"/>
                <w:sz w:val="28"/>
                <w:szCs w:val="28"/>
                <w:u w:val="none"/>
              </w:rPr>
            </w:pPr>
          </w:p>
        </w:tc>
      </w:tr>
      <w:tr w14:paraId="1DDC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08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菜地</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A82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菜地指常年种植蔬菜的耕地，包括大棚用地。</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96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441D">
            <w:pPr>
              <w:jc w:val="left"/>
              <w:rPr>
                <w:rFonts w:hint="eastAsia" w:ascii="宋体" w:hAnsi="宋体" w:eastAsia="宋体" w:cs="宋体"/>
                <w:i w:val="0"/>
                <w:iCs w:val="0"/>
                <w:color w:val="000000"/>
                <w:sz w:val="28"/>
                <w:szCs w:val="28"/>
                <w:u w:val="none"/>
              </w:rPr>
            </w:pPr>
          </w:p>
        </w:tc>
      </w:tr>
    </w:tbl>
    <w:p w14:paraId="62E7E8BD">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z w:val="32"/>
          <w:szCs w:val="32"/>
          <w:lang w:val="en-US" w:eastAsia="zh-CN"/>
        </w:rPr>
      </w:pPr>
    </w:p>
    <w:p w14:paraId="715B63FA">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2C8EA3C4">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14:paraId="4383C663">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零星树木补偿标准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351"/>
        <w:gridCol w:w="4241"/>
        <w:gridCol w:w="2659"/>
        <w:gridCol w:w="1393"/>
      </w:tblGrid>
      <w:tr w14:paraId="4C0E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3121">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类  别</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068E">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名  称</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F905">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分  级</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A9D2">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补偿标准（元/株）</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3CA3">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备  注</w:t>
            </w:r>
          </w:p>
        </w:tc>
      </w:tr>
      <w:tr w14:paraId="7045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5C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果树</w:t>
            </w: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9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梨、桃、柑橘、梅、杏、李、杨梅、石榴、枣、柿、核桃、山核桃、板栗、桑树、山楂、枇杷、樱桃、香榧、苹果等。</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9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胸径1档（≤10cm）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63B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5E0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3FD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3F6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4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胸径2档（10cm-20cm）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D8E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94E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C6E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4E50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A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胸径3档（≥30cm）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4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DC4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D4C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restart"/>
            <w:tcBorders>
              <w:top w:val="nil"/>
              <w:left w:val="single" w:color="000000" w:sz="4" w:space="0"/>
              <w:bottom w:val="single" w:color="000000" w:sz="4" w:space="0"/>
              <w:right w:val="single" w:color="000000" w:sz="4" w:space="0"/>
            </w:tcBorders>
            <w:shd w:val="clear" w:color="auto" w:fill="auto"/>
            <w:vAlign w:val="center"/>
          </w:tcPr>
          <w:p w14:paraId="161C3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w:t>
            </w:r>
          </w:p>
        </w:tc>
        <w:tc>
          <w:tcPr>
            <w:tcW w:w="1292" w:type="pct"/>
            <w:vMerge w:val="restart"/>
            <w:tcBorders>
              <w:top w:val="nil"/>
              <w:left w:val="single" w:color="000000" w:sz="4" w:space="0"/>
              <w:bottom w:val="single" w:color="000000" w:sz="4" w:space="0"/>
              <w:right w:val="single" w:color="000000" w:sz="4" w:space="0"/>
            </w:tcBorders>
            <w:shd w:val="clear" w:color="auto" w:fill="auto"/>
            <w:vAlign w:val="center"/>
          </w:tcPr>
          <w:p w14:paraId="4E453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9A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冠幅1档（≤30cm）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E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E27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DA1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nil"/>
              <w:left w:val="single" w:color="000000" w:sz="4" w:space="0"/>
              <w:bottom w:val="single" w:color="000000" w:sz="4" w:space="0"/>
              <w:right w:val="single" w:color="000000" w:sz="4" w:space="0"/>
            </w:tcBorders>
            <w:shd w:val="clear" w:color="auto" w:fill="auto"/>
            <w:vAlign w:val="center"/>
          </w:tcPr>
          <w:p w14:paraId="60F596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nil"/>
              <w:left w:val="single" w:color="000000" w:sz="4" w:space="0"/>
              <w:bottom w:val="single" w:color="000000" w:sz="4" w:space="0"/>
              <w:right w:val="single" w:color="000000" w:sz="4" w:space="0"/>
            </w:tcBorders>
            <w:shd w:val="clear" w:color="auto" w:fill="auto"/>
            <w:vAlign w:val="center"/>
          </w:tcPr>
          <w:p w14:paraId="120425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0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冠幅2档（30cm-60cm）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5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973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9B9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nil"/>
              <w:left w:val="single" w:color="000000" w:sz="4" w:space="0"/>
              <w:bottom w:val="single" w:color="000000" w:sz="4" w:space="0"/>
              <w:right w:val="single" w:color="000000" w:sz="4" w:space="0"/>
            </w:tcBorders>
            <w:shd w:val="clear" w:color="auto" w:fill="auto"/>
            <w:vAlign w:val="center"/>
          </w:tcPr>
          <w:p w14:paraId="4C21DA0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nil"/>
              <w:left w:val="single" w:color="000000" w:sz="4" w:space="0"/>
              <w:bottom w:val="single" w:color="000000" w:sz="4" w:space="0"/>
              <w:right w:val="single" w:color="000000" w:sz="4" w:space="0"/>
            </w:tcBorders>
            <w:shd w:val="clear" w:color="auto" w:fill="auto"/>
            <w:vAlign w:val="center"/>
          </w:tcPr>
          <w:p w14:paraId="18D7FBF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7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冠幅3档（≥60cm）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B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461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559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1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A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毛竹。</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9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8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A2F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0A0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69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乔木。</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3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胸径1档（≤10cm）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6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A73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ABF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70F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D08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2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胸径2档（10cm-50cm）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1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F4B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B20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FC5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0A7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2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胸径3档（≥50cm）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E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09A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352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85B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7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灌木。</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4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冠幅1档（≤200cm）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E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6DF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B03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072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65C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0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冠幅2档（200cm-350cm）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8D0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D76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D6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9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3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冠幅3档（≥350cm）</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8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E19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6CA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pct"/>
            <w:tcBorders>
              <w:top w:val="nil"/>
              <w:left w:val="nil"/>
              <w:bottom w:val="nil"/>
              <w:right w:val="nil"/>
            </w:tcBorders>
            <w:shd w:val="clear" w:color="auto" w:fill="auto"/>
            <w:vAlign w:val="center"/>
          </w:tcPr>
          <w:p w14:paraId="63221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c>
          <w:tcPr>
            <w:tcW w:w="4489" w:type="pct"/>
            <w:gridSpan w:val="4"/>
            <w:tcBorders>
              <w:top w:val="nil"/>
              <w:left w:val="nil"/>
              <w:bottom w:val="nil"/>
              <w:right w:val="nil"/>
            </w:tcBorders>
            <w:shd w:val="clear" w:color="auto" w:fill="auto"/>
            <w:vAlign w:val="center"/>
          </w:tcPr>
          <w:p w14:paraId="1A2B9AA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本表为宅旁、村旁、路旁、水旁等地栽种的面积小于1亩的零星树木补偿标准，按株数及补偿标准计算补偿费用。</w:t>
            </w:r>
          </w:p>
          <w:p w14:paraId="2B3052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u w:val="none"/>
                <w:lang w:val="en-US" w:eastAsia="zh-CN" w:bidi="ar"/>
              </w:rPr>
              <w:t>地径是指植株主干与地面相接处植株的直径；胸径是指树木胸高（距地面1.3米处）的直径；冠幅为苗木冠丛的最大幅度和最小幅度之间的平均直径，或树冠投影面的平均直径。</w:t>
            </w:r>
          </w:p>
          <w:p w14:paraId="081117D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3.以上标准未涉及或与实际价值差异较大的，可申请专项评估确定补偿额。</w:t>
            </w:r>
          </w:p>
        </w:tc>
      </w:tr>
    </w:tbl>
    <w:p w14:paraId="57F681E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宋体" w:eastAsia="黑体" w:cs="黑体"/>
          <w:i w:val="0"/>
          <w:iCs w:val="0"/>
          <w:color w:val="000000"/>
          <w:kern w:val="0"/>
          <w:sz w:val="32"/>
          <w:szCs w:val="32"/>
          <w:u w:val="none"/>
          <w:lang w:val="en-US" w:eastAsia="zh-CN" w:bidi="ar"/>
        </w:rPr>
        <w:sectPr>
          <w:pgSz w:w="16838" w:h="11906" w:orient="landscape"/>
          <w:pgMar w:top="1134" w:right="2098" w:bottom="1134" w:left="1984" w:header="851" w:footer="992" w:gutter="0"/>
          <w:cols w:space="425" w:num="1"/>
          <w:docGrid w:type="lines" w:linePitch="312" w:charSpace="0"/>
        </w:sectPr>
      </w:pPr>
    </w:p>
    <w:p w14:paraId="586EEBC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宋体" w:eastAsia="黑体" w:cs="黑体"/>
          <w:i w:val="0"/>
          <w:iCs w:val="0"/>
          <w:color w:val="000000"/>
          <w:kern w:val="0"/>
          <w:sz w:val="32"/>
          <w:szCs w:val="32"/>
          <w:u w:val="none"/>
          <w:lang w:val="en-US" w:eastAsia="zh-CN" w:bidi="ar"/>
        </w:rPr>
      </w:pPr>
    </w:p>
    <w:p w14:paraId="0196FD0C">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附件3</w:t>
      </w:r>
    </w:p>
    <w:p w14:paraId="53F5D60A">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成片树（苗）木补偿标准</w:t>
      </w:r>
    </w:p>
    <w:tbl>
      <w:tblPr>
        <w:tblStyle w:val="2"/>
        <w:tblW w:w="51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973"/>
        <w:gridCol w:w="6922"/>
        <w:gridCol w:w="1400"/>
        <w:gridCol w:w="1400"/>
        <w:gridCol w:w="1606"/>
      </w:tblGrid>
      <w:tr w14:paraId="68DC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blHeader/>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61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B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5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分级</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1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补偿标准</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（元/亩）</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68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14:paraId="7BC0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76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果树</w:t>
            </w:r>
          </w:p>
        </w:tc>
        <w:tc>
          <w:tcPr>
            <w:tcW w:w="29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2F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梨、桃、柑橘、梅、杏、李、杨梅、石榴、枣、柿、核桃、山核桃、板栗、山楂、枇杷、樱桃、香榧、苹果等。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0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1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9170">
            <w:pPr>
              <w:rPr>
                <w:rFonts w:hint="eastAsia" w:ascii="宋体" w:hAnsi="宋体" w:eastAsia="宋体" w:cs="宋体"/>
                <w:i w:val="0"/>
                <w:iCs w:val="0"/>
                <w:color w:val="000000"/>
                <w:sz w:val="21"/>
                <w:szCs w:val="21"/>
                <w:u w:val="none"/>
              </w:rPr>
            </w:pPr>
          </w:p>
        </w:tc>
      </w:tr>
      <w:tr w14:paraId="3447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6E28">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2334">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3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初果期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9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5DF7">
            <w:pPr>
              <w:rPr>
                <w:rFonts w:hint="eastAsia" w:ascii="宋体" w:hAnsi="宋体" w:eastAsia="宋体" w:cs="宋体"/>
                <w:i w:val="0"/>
                <w:iCs w:val="0"/>
                <w:color w:val="000000"/>
                <w:sz w:val="21"/>
                <w:szCs w:val="21"/>
                <w:u w:val="none"/>
              </w:rPr>
            </w:pPr>
          </w:p>
        </w:tc>
      </w:tr>
      <w:tr w14:paraId="2756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D808">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886A">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盛果期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2A90">
            <w:pPr>
              <w:rPr>
                <w:rFonts w:hint="eastAsia" w:ascii="宋体" w:hAnsi="宋体" w:eastAsia="宋体" w:cs="宋体"/>
                <w:i w:val="0"/>
                <w:iCs w:val="0"/>
                <w:color w:val="000000"/>
                <w:sz w:val="21"/>
                <w:szCs w:val="21"/>
                <w:u w:val="none"/>
              </w:rPr>
            </w:pPr>
          </w:p>
        </w:tc>
      </w:tr>
      <w:tr w14:paraId="1D66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7B63">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C830">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衰老期</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E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403E">
            <w:pPr>
              <w:rPr>
                <w:rFonts w:hint="eastAsia" w:ascii="宋体" w:hAnsi="宋体" w:eastAsia="宋体" w:cs="宋体"/>
                <w:i w:val="0"/>
                <w:iCs w:val="0"/>
                <w:color w:val="000000"/>
                <w:sz w:val="21"/>
                <w:szCs w:val="21"/>
                <w:u w:val="none"/>
              </w:rPr>
            </w:pPr>
          </w:p>
        </w:tc>
      </w:tr>
      <w:tr w14:paraId="578D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C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桑树</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08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4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5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E70A">
            <w:pPr>
              <w:rPr>
                <w:rFonts w:hint="eastAsia" w:ascii="宋体" w:hAnsi="宋体" w:eastAsia="宋体" w:cs="宋体"/>
                <w:i w:val="0"/>
                <w:iCs w:val="0"/>
                <w:color w:val="000000"/>
                <w:sz w:val="21"/>
                <w:szCs w:val="21"/>
                <w:u w:val="none"/>
              </w:rPr>
            </w:pPr>
          </w:p>
        </w:tc>
      </w:tr>
      <w:tr w14:paraId="2988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D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茶树</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E9B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E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DAA8">
            <w:pPr>
              <w:rPr>
                <w:rFonts w:hint="eastAsia" w:ascii="宋体" w:hAnsi="宋体" w:eastAsia="宋体" w:cs="宋体"/>
                <w:i w:val="0"/>
                <w:iCs w:val="0"/>
                <w:color w:val="000000"/>
                <w:sz w:val="21"/>
                <w:szCs w:val="21"/>
                <w:u w:val="none"/>
              </w:rPr>
            </w:pPr>
          </w:p>
        </w:tc>
      </w:tr>
      <w:tr w14:paraId="3B8F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A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w:t>
            </w: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F0E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毛竹。</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6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6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42A0">
            <w:pPr>
              <w:rPr>
                <w:rFonts w:hint="eastAsia" w:ascii="宋体" w:hAnsi="宋体" w:eastAsia="宋体" w:cs="宋体"/>
                <w:i w:val="0"/>
                <w:iCs w:val="0"/>
                <w:color w:val="000000"/>
                <w:sz w:val="21"/>
                <w:szCs w:val="21"/>
                <w:u w:val="none"/>
              </w:rPr>
            </w:pPr>
          </w:p>
        </w:tc>
      </w:tr>
      <w:tr w14:paraId="5FAC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27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一般林地</w:t>
            </w:r>
          </w:p>
        </w:tc>
        <w:tc>
          <w:tcPr>
            <w:tcW w:w="29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90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用材林、防护林、特种用途林、经济林（不含以上果树、茶树、桑树、竹等）。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A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9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3205">
            <w:pPr>
              <w:keepNext w:val="0"/>
              <w:keepLines w:val="0"/>
              <w:widowControl/>
              <w:suppressLineNumbers w:val="0"/>
              <w:jc w:val="center"/>
              <w:textAlignment w:val="cente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pPr>
            <w: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t>幼龄林或</w:t>
            </w:r>
          </w:p>
          <w:p w14:paraId="6F5F5F3C">
            <w:pPr>
              <w:keepNext w:val="0"/>
              <w:keepLines w:val="0"/>
              <w:widowControl/>
              <w:suppressLineNumbers w:val="0"/>
              <w:jc w:val="center"/>
              <w:textAlignment w:val="center"/>
              <w:rPr>
                <w:rFonts w:ascii="宋体 mso-generic-font-family : au" w:hAnsi="宋体 mso-generic-font-family : au" w:eastAsia="宋体 mso-generic-font-family : au" w:cs="宋体 mso-generic-font-family : au"/>
                <w:i w:val="0"/>
                <w:iCs w:val="0"/>
                <w:color w:val="000000"/>
                <w:sz w:val="21"/>
                <w:szCs w:val="21"/>
                <w:u w:val="none"/>
              </w:rPr>
            </w:pPr>
            <w:r>
              <w:rPr>
                <w:rFonts w:hint="default" w:ascii="宋体 mso-generic-font-family : au" w:hAnsi="宋体 mso-generic-font-family : au" w:eastAsia="宋体 mso-generic-font-family : au" w:cs="宋体 mso-generic-font-family : au"/>
                <w:i w:val="0"/>
                <w:iCs w:val="0"/>
                <w:color w:val="000000"/>
                <w:kern w:val="0"/>
                <w:sz w:val="21"/>
                <w:szCs w:val="21"/>
                <w:u w:val="none"/>
                <w:lang w:val="en-US" w:eastAsia="zh-CN" w:bidi="ar"/>
              </w:rPr>
              <w:t>新造林</w:t>
            </w:r>
          </w:p>
        </w:tc>
      </w:tr>
      <w:tr w14:paraId="7C94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90D1">
            <w:pPr>
              <w:jc w:val="center"/>
              <w:rPr>
                <w:rFonts w:hint="eastAsia" w:ascii="宋体" w:hAnsi="宋体" w:eastAsia="宋体" w:cs="宋体"/>
                <w:i w:val="0"/>
                <w:iCs w:val="0"/>
                <w:color w:val="000000"/>
                <w:sz w:val="21"/>
                <w:szCs w:val="21"/>
                <w:u w:val="none"/>
              </w:rPr>
            </w:pPr>
          </w:p>
        </w:tc>
        <w:tc>
          <w:tcPr>
            <w:tcW w:w="29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8668">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6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F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2ADF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8C55">
            <w:pPr>
              <w:jc w:val="center"/>
              <w:rPr>
                <w:rFonts w:hint="eastAsia" w:ascii="宋体" w:hAnsi="宋体" w:eastAsia="宋体" w:cs="宋体"/>
                <w:i w:val="0"/>
                <w:iCs w:val="0"/>
                <w:color w:val="000000"/>
                <w:sz w:val="21"/>
                <w:szCs w:val="21"/>
                <w:u w:val="none"/>
              </w:rPr>
            </w:pPr>
          </w:p>
        </w:tc>
        <w:tc>
          <w:tcPr>
            <w:tcW w:w="2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310EE">
            <w:pPr>
              <w:keepNext w:val="0"/>
              <w:keepLines w:val="0"/>
              <w:widowControl/>
              <w:suppressLineNumbers w:val="0"/>
              <w:jc w:val="left"/>
              <w:textAlignment w:val="center"/>
              <w:rPr>
                <w:rFonts w:hint="default" w:ascii="宋体 mso-generic-font-family : au" w:hAnsi="宋体 mso-generic-font-family : au" w:eastAsia="宋体 mso-generic-font-family : au" w:cs="宋体 mso-generic-font-family : au"/>
                <w:i w:val="0"/>
                <w:iCs w:val="0"/>
                <w:color w:val="333333"/>
                <w:sz w:val="21"/>
                <w:szCs w:val="21"/>
                <w:u w:val="none"/>
              </w:rPr>
            </w:pPr>
            <w:r>
              <w:rPr>
                <w:rFonts w:hint="default" w:ascii="宋体 mso-generic-font-family : au" w:hAnsi="宋体 mso-generic-font-family : au" w:eastAsia="宋体 mso-generic-font-family : au" w:cs="宋体 mso-generic-font-family : au"/>
                <w:i w:val="0"/>
                <w:iCs w:val="0"/>
                <w:color w:val="333333"/>
                <w:kern w:val="0"/>
                <w:sz w:val="21"/>
                <w:szCs w:val="21"/>
                <w:u w:val="none"/>
                <w:lang w:val="en-US" w:eastAsia="zh-CN" w:bidi="ar"/>
              </w:rPr>
              <w:t>能源林（薪炭林）。</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0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CC0B">
            <w:pPr>
              <w:rPr>
                <w:rFonts w:hint="eastAsia" w:ascii="宋体" w:hAnsi="宋体" w:eastAsia="宋体" w:cs="宋体"/>
                <w:i w:val="0"/>
                <w:iCs w:val="0"/>
                <w:color w:val="000000"/>
                <w:sz w:val="21"/>
                <w:szCs w:val="21"/>
                <w:u w:val="none"/>
              </w:rPr>
            </w:pPr>
          </w:p>
        </w:tc>
      </w:tr>
      <w:tr w14:paraId="27A3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60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苗圃</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9C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w:t>
            </w:r>
          </w:p>
        </w:tc>
        <w:tc>
          <w:tcPr>
            <w:tcW w:w="2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39F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杏、金钱松、雪松、马尾松、黄山松、火炬松、湿地松、大别山五针松、罗汉松、杉木、池杉、落羽杉、中山杉、水杉、红豆杉、南方红豆杉、侧柏、圆柏、柏木、青钱柳、杨树、垂柳、江南桤木、麻栎、栓皮栎、小叶栎、光叶榉、大叶榉、榆树、朴树、糙叶树、楮树、鹅掌楸、白玉兰、广玉兰、厚朴、深山含笑、樟树、薄叶润楠、浙江楠、紫楠、连香树、枫香、合欢、紫荆、黄檀、槐树、刺槐、皂荚树、花榈木、油桐、乌桕树、重阳木、臭椿、香椿、楝树、黄连木、盐肤木、五角枫、元宝槭、三角枫、鸡爪槭、无患子、栾树、黄山栾树、七叶树、冬青、大叶冬青、香冬青、瘿椒树、枳椇、梧桐、喜树、刺楸、君迁子、芬芳安息香、白蜡树、流苏树、桂花、女贞、泡桐、棕榈树、金森女贞、紫薇、红千层、簸箕柳、省沽油、木芙蓉、木香花等；木槿、倒挂金钟、木茼蒿、一品红、扶桑、绣球花、茶花、腊梅、黄杨、迎春、茉莉花、白兰花、栀子花、金桔、米兰、牡丹、月橘、玫瑰、月季、火棘、杜鹃、瓜栗、枳、欧丁香、荚蒾、卫矛、金缕梅、小檗、连翘、决明、绣线菊、迷迭香、瑞香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1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种植1年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0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种植密度10000-18000</w:t>
            </w:r>
          </w:p>
        </w:tc>
      </w:tr>
      <w:tr w14:paraId="0837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B236">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5D0E7">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3EA8E">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4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种植2年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8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2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种植密度10000-18000</w:t>
            </w:r>
          </w:p>
        </w:tc>
      </w:tr>
      <w:tr w14:paraId="54CC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C94E">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9642">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F8F50">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种植3年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4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种植密度6000-14000</w:t>
            </w:r>
          </w:p>
        </w:tc>
      </w:tr>
      <w:tr w14:paraId="7974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1A7A">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D1E67">
            <w:pPr>
              <w:jc w:val="center"/>
              <w:rPr>
                <w:rFonts w:hint="eastAsia" w:ascii="宋体" w:hAnsi="宋体" w:eastAsia="宋体" w:cs="宋体"/>
                <w:i w:val="0"/>
                <w:iCs w:val="0"/>
                <w:color w:val="000000"/>
                <w:sz w:val="21"/>
                <w:szCs w:val="21"/>
                <w:u w:val="none"/>
              </w:rPr>
            </w:pPr>
          </w:p>
        </w:tc>
        <w:tc>
          <w:tcPr>
            <w:tcW w:w="2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9AFA">
            <w:pPr>
              <w:jc w:val="left"/>
              <w:rPr>
                <w:rFonts w:hint="eastAsia" w:ascii="宋体" w:hAnsi="宋体" w:eastAsia="宋体" w:cs="宋体"/>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6F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种植4年</w:t>
            </w:r>
          </w:p>
          <w:p w14:paraId="210D1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及以上</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E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种植密度2000-6000</w:t>
            </w:r>
          </w:p>
        </w:tc>
      </w:tr>
      <w:tr w14:paraId="1AFA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D654">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F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草本</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D6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万寿菊、雏菊、麦秆菊、波斯菊、矢车菊、瓜叶菊、鸡冠花、一串红、金鱼草、三色堇、紫罗兰、凤仙花、石竹、满天星、矮牵牛、美女樱、虞美人、花菱草、雁来红、千日红、大花马齿苋、蒲包花、彩叶草、观赏向日葵、耧斗菜、风铃草、虎耳草、勿忘我、孔雀草、乳茄、情人草、洋桔梗、口红花、龙胆、鼠尾草、薰衣草、长春花、福禄考、羽扇豆、报春花、欧报春、菊花、非洲菊、非洲紫罗兰、芍药、鸢尾、蜀葵、落新妇、翠雀、玉簪、萱草、火炬花、剪秋罗、钓钟柳、射干、蛇鞭菊、君子兰、鹤望兰、虎尾兰、花烛、吊兰、百子莲、海芋、大丽花、唐菖蒲、美人蕉、晚香玉、葱莲、水仙花、郁金香、风信子、百合、石蒜、花毛莨、铃兰、虎斑花、仙客来、大岩桐、马蹄莲、朱顶红、小苍兰、文殊兰、网球花、香石竹、天竺葵、天门冬、银叶菊、珊瑚凤梨类、莺歌凤梨类、星花凤梨类、铁栏类、水塔花类、彩叶凤梨类、姬凤梨类、小果子蔓、飞燕草、银莲花、雪铁芋、欧石楠、独尾草、柳兰、姜花、锦葵、老鹮草、孤挺花、绿绒蒿、袋鼠爪、六出花、观赏葱、番红花、绵枣儿、天南星、象牙参、春兰、蕙兰、虎头兰、台兰、建兰、墨兰、寒兰、卡特兰、都兰、石斛、文心兰、万带兰、见母兰、米尔顿兰、蝴蝶兰、大花蕙兰、独蒜兰、杓兰、杂交兰、铁线蕨、肾蕨、凤尾蕨、鹿角蕨、观音莲座蕨、金毛狗、巢蕨、卷柏、翠云草、高山羊齿、波士顿蕨、荚果蕨、水蕨、水龙骨、耳蕨、石松、海金沙、桫椤、金琥、仙人球、仙人掌、令箭荷花、山影拳、蟹爪兰、仙人指、昙花、量天尺、叶仙人掌、生石花、佛手掌、日中花、绿铃、紫弦月、泥鳅掌、芦荟、沙鱼掌、青锁龙、玉米石、松鼠尾、龙舌兰、龙凤木、长寿花、石莲花、胧月、薹草、蒲苇、狼尾草、刚草、芒草、莎草、画眉草、席草、针茅、芦苇、紫田根、羽毛草、血草、凤尾竹、佛肚竹、方竹、桂竹、紫竹、箸竹、毛竹、钢竹、孝顺竹、茶杆竹、荷花、睡莲、千屈菜、水葱、玉莲、杨莲蓬、凤眼莲、香蒲、泽泻、鸭舌草、雨久花、金鱼藻、石菖蒲、菖蒲、沼芋、睡菜等。</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E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97B0">
            <w:pPr>
              <w:rPr>
                <w:rFonts w:hint="eastAsia" w:ascii="宋体" w:hAnsi="宋体" w:eastAsia="宋体" w:cs="宋体"/>
                <w:i w:val="0"/>
                <w:iCs w:val="0"/>
                <w:color w:val="000000"/>
                <w:sz w:val="24"/>
                <w:szCs w:val="24"/>
                <w:u w:val="none"/>
              </w:rPr>
            </w:pPr>
          </w:p>
        </w:tc>
      </w:tr>
      <w:tr w14:paraId="6735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CD6C">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1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藤本</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22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金莲、鸢萝、文竹、香豌豆、牵牛、五爪金龙、鸡矢藤、白英、草质千金藤、铁线莲、三角梅、龟背竹、常春藤、凌霄、忍冬、爬山虎、蔷薇、紫藤、木香花、络石、绿萝、飘香藤、西番莲、合果芋、球兰、黄婵。</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C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A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E9C8">
            <w:pPr>
              <w:rPr>
                <w:rFonts w:hint="eastAsia" w:ascii="宋体" w:hAnsi="宋体" w:eastAsia="宋体" w:cs="宋体"/>
                <w:i w:val="0"/>
                <w:iCs w:val="0"/>
                <w:color w:val="000000"/>
                <w:sz w:val="21"/>
                <w:szCs w:val="21"/>
                <w:u w:val="none"/>
              </w:rPr>
            </w:pPr>
          </w:p>
        </w:tc>
      </w:tr>
      <w:tr w14:paraId="53A7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364" w:type="pct"/>
            <w:tcBorders>
              <w:top w:val="nil"/>
              <w:left w:val="nil"/>
              <w:bottom w:val="nil"/>
              <w:right w:val="nil"/>
            </w:tcBorders>
            <w:shd w:val="clear" w:color="auto" w:fill="auto"/>
            <w:vAlign w:val="center"/>
          </w:tcPr>
          <w:p w14:paraId="7605A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4635" w:type="pct"/>
            <w:gridSpan w:val="5"/>
            <w:tcBorders>
              <w:top w:val="nil"/>
              <w:left w:val="nil"/>
              <w:bottom w:val="nil"/>
              <w:right w:val="nil"/>
            </w:tcBorders>
            <w:shd w:val="clear" w:color="auto" w:fill="auto"/>
            <w:vAlign w:val="center"/>
          </w:tcPr>
          <w:p w14:paraId="4D0BFF21">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本表为栽种的面积大于或等于1亩的树木补偿标准，按面积及标准计算补偿费用。</w:t>
            </w:r>
          </w:p>
          <w:p w14:paraId="60D217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2.初果期是指果树从定植后到具有一定经济产量的阶段；盛果期是指果树树冠扩大缓慢，结果相对稳定的阶段；衰老期指果树从果实的产量和品质明显下降，到树体枯死的阶段。</w:t>
            </w:r>
          </w:p>
          <w:p w14:paraId="41D16B9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3.以上标准未涉及或与实际价值差异较大的，可申请专项评估确定补偿额。</w:t>
            </w:r>
          </w:p>
        </w:tc>
      </w:tr>
    </w:tbl>
    <w:p w14:paraId="054ADB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sectPr>
          <w:pgSz w:w="16838" w:h="11906" w:orient="landscape"/>
          <w:pgMar w:top="1417" w:right="2098" w:bottom="1134" w:left="1984" w:header="851" w:footer="992" w:gutter="0"/>
          <w:cols w:space="0" w:num="1"/>
          <w:rtlGutter w:val="0"/>
          <w:docGrid w:type="lines" w:linePitch="312" w:charSpace="0"/>
        </w:sectPr>
      </w:pPr>
    </w:p>
    <w:p w14:paraId="5E8E2528">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附件4</w:t>
      </w:r>
    </w:p>
    <w:p w14:paraId="6CF3C932">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其他地上附着物补偿标准</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4"/>
        <w:gridCol w:w="2988"/>
        <w:gridCol w:w="1956"/>
        <w:gridCol w:w="1720"/>
        <w:gridCol w:w="1938"/>
        <w:gridCol w:w="2041"/>
      </w:tblGrid>
      <w:tr w14:paraId="7121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blHeader/>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08D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类别</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3056DB9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名称</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50411AB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71F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单位</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FDC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补偿标准(元)</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EA6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14:paraId="276C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9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玻璃温房</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131BE4A4">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5BBB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钢管结构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4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9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F8EF">
            <w:pPr>
              <w:jc w:val="left"/>
              <w:rPr>
                <w:rFonts w:hint="eastAsia" w:ascii="宋体" w:hAnsi="宋体" w:eastAsia="宋体" w:cs="宋体"/>
                <w:i w:val="0"/>
                <w:iCs w:val="0"/>
                <w:color w:val="000000"/>
                <w:sz w:val="22"/>
                <w:szCs w:val="22"/>
                <w:u w:val="none"/>
              </w:rPr>
            </w:pPr>
          </w:p>
        </w:tc>
      </w:tr>
      <w:tr w14:paraId="3A70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24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蔬菜弓棚</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25CCB222">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0399C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9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EE57">
            <w:pPr>
              <w:jc w:val="left"/>
              <w:rPr>
                <w:rFonts w:hint="eastAsia" w:ascii="宋体" w:hAnsi="宋体" w:eastAsia="宋体" w:cs="宋体"/>
                <w:i w:val="0"/>
                <w:iCs w:val="0"/>
                <w:color w:val="000000"/>
                <w:sz w:val="22"/>
                <w:szCs w:val="22"/>
                <w:u w:val="none"/>
              </w:rPr>
            </w:pPr>
          </w:p>
        </w:tc>
      </w:tr>
      <w:tr w14:paraId="0A30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EED76">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49AEECC6">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21F0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5A8B">
            <w:pPr>
              <w:jc w:val="left"/>
              <w:rPr>
                <w:rFonts w:hint="eastAsia" w:ascii="宋体" w:hAnsi="宋体" w:eastAsia="宋体" w:cs="宋体"/>
                <w:i w:val="0"/>
                <w:iCs w:val="0"/>
                <w:color w:val="000000"/>
                <w:sz w:val="22"/>
                <w:szCs w:val="22"/>
                <w:u w:val="none"/>
              </w:rPr>
            </w:pPr>
          </w:p>
        </w:tc>
      </w:tr>
      <w:tr w14:paraId="476B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399B">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4CD1C07A">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3F7E1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5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CC92">
            <w:pPr>
              <w:jc w:val="left"/>
              <w:rPr>
                <w:rFonts w:hint="eastAsia" w:ascii="宋体" w:hAnsi="宋体" w:eastAsia="宋体" w:cs="宋体"/>
                <w:i w:val="0"/>
                <w:iCs w:val="0"/>
                <w:color w:val="000000"/>
                <w:sz w:val="22"/>
                <w:szCs w:val="22"/>
                <w:u w:val="none"/>
              </w:rPr>
            </w:pPr>
          </w:p>
        </w:tc>
      </w:tr>
      <w:tr w14:paraId="50FF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nil"/>
              <w:left w:val="single" w:color="000000" w:sz="4" w:space="0"/>
              <w:bottom w:val="nil"/>
              <w:right w:val="single" w:color="000000" w:sz="4" w:space="0"/>
            </w:tcBorders>
            <w:shd w:val="clear" w:color="auto" w:fill="auto"/>
            <w:vAlign w:val="center"/>
          </w:tcPr>
          <w:p w14:paraId="0FA3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池塘</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E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散养塘</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6A44AE81">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A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3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AEC7">
            <w:pPr>
              <w:jc w:val="left"/>
              <w:rPr>
                <w:rFonts w:hint="eastAsia" w:ascii="宋体" w:hAnsi="宋体" w:eastAsia="宋体" w:cs="宋体"/>
                <w:i w:val="0"/>
                <w:iCs w:val="0"/>
                <w:color w:val="000000"/>
                <w:sz w:val="22"/>
                <w:szCs w:val="22"/>
                <w:u w:val="none"/>
              </w:rPr>
            </w:pPr>
          </w:p>
        </w:tc>
      </w:tr>
      <w:tr w14:paraId="7EEE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nil"/>
              <w:left w:val="single" w:color="000000" w:sz="4" w:space="0"/>
              <w:bottom w:val="nil"/>
              <w:right w:val="single" w:color="000000" w:sz="4" w:space="0"/>
            </w:tcBorders>
            <w:shd w:val="clear" w:color="auto" w:fill="auto"/>
            <w:vAlign w:val="center"/>
          </w:tcPr>
          <w:p w14:paraId="68FE14A2">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3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精养鱼糖</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28689403">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7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E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7F3E">
            <w:pPr>
              <w:jc w:val="left"/>
              <w:rPr>
                <w:rFonts w:hint="eastAsia" w:ascii="宋体" w:hAnsi="宋体" w:eastAsia="宋体" w:cs="宋体"/>
                <w:i w:val="0"/>
                <w:iCs w:val="0"/>
                <w:color w:val="000000"/>
                <w:sz w:val="22"/>
                <w:szCs w:val="22"/>
                <w:u w:val="none"/>
              </w:rPr>
            </w:pPr>
          </w:p>
        </w:tc>
      </w:tr>
      <w:tr w14:paraId="379F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nil"/>
              <w:right w:val="single" w:color="000000" w:sz="4" w:space="0"/>
            </w:tcBorders>
            <w:shd w:val="clear" w:color="auto" w:fill="auto"/>
            <w:vAlign w:val="center"/>
          </w:tcPr>
          <w:p w14:paraId="10BFE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7BCB">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4764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C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C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7BA0">
            <w:pPr>
              <w:jc w:val="left"/>
              <w:rPr>
                <w:rFonts w:hint="eastAsia" w:ascii="宋体" w:hAnsi="宋体" w:eastAsia="宋体" w:cs="宋体"/>
                <w:i w:val="0"/>
                <w:iCs w:val="0"/>
                <w:color w:val="000000"/>
                <w:sz w:val="22"/>
                <w:szCs w:val="22"/>
                <w:u w:val="none"/>
              </w:rPr>
            </w:pPr>
          </w:p>
        </w:tc>
      </w:tr>
      <w:tr w14:paraId="6CE0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14:paraId="6996448B">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AF0D">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5BE68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9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843A">
            <w:pPr>
              <w:jc w:val="left"/>
              <w:rPr>
                <w:rFonts w:hint="eastAsia" w:ascii="宋体" w:hAnsi="宋体" w:eastAsia="宋体" w:cs="宋体"/>
                <w:i w:val="0"/>
                <w:iCs w:val="0"/>
                <w:color w:val="000000"/>
                <w:sz w:val="22"/>
                <w:szCs w:val="22"/>
                <w:u w:val="none"/>
              </w:rPr>
            </w:pPr>
          </w:p>
        </w:tc>
      </w:tr>
      <w:tr w14:paraId="36BC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14:paraId="70D8FE85">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厚度1档（≤10cm）</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333CE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B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FFBC">
            <w:pPr>
              <w:jc w:val="left"/>
              <w:rPr>
                <w:rFonts w:hint="eastAsia" w:ascii="宋体" w:hAnsi="宋体" w:eastAsia="宋体" w:cs="宋体"/>
                <w:i w:val="0"/>
                <w:iCs w:val="0"/>
                <w:color w:val="000000"/>
                <w:sz w:val="22"/>
                <w:szCs w:val="22"/>
                <w:u w:val="none"/>
              </w:rPr>
            </w:pPr>
          </w:p>
        </w:tc>
      </w:tr>
      <w:tr w14:paraId="1C63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14:paraId="4DD13B84">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6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厚度2档（10cm以上）</w:t>
            </w: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45B4A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3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6CCA">
            <w:pPr>
              <w:jc w:val="left"/>
              <w:rPr>
                <w:rFonts w:hint="eastAsia" w:ascii="宋体" w:hAnsi="宋体" w:eastAsia="宋体" w:cs="宋体"/>
                <w:i w:val="0"/>
                <w:iCs w:val="0"/>
                <w:color w:val="000000"/>
                <w:sz w:val="22"/>
                <w:szCs w:val="22"/>
                <w:u w:val="none"/>
              </w:rPr>
            </w:pPr>
          </w:p>
        </w:tc>
      </w:tr>
      <w:tr w14:paraId="1B09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vAlign w:val="center"/>
          </w:tcPr>
          <w:p w14:paraId="3C1B5CA8">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5122">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2E75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E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B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含沥青混凝土。</w:t>
            </w:r>
          </w:p>
        </w:tc>
      </w:tr>
      <w:tr w14:paraId="3570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restart"/>
            <w:tcBorders>
              <w:top w:val="single" w:color="000000" w:sz="4" w:space="0"/>
              <w:left w:val="single" w:color="000000" w:sz="4" w:space="0"/>
              <w:bottom w:val="nil"/>
              <w:right w:val="single" w:color="000000" w:sz="4" w:space="0"/>
            </w:tcBorders>
            <w:shd w:val="clear" w:color="auto" w:fill="auto"/>
            <w:noWrap/>
            <w:vAlign w:val="center"/>
          </w:tcPr>
          <w:p w14:paraId="16D5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地坪</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94F7">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3A59C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1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78AA">
            <w:pPr>
              <w:jc w:val="left"/>
              <w:rPr>
                <w:rFonts w:hint="eastAsia" w:ascii="宋体" w:hAnsi="宋体" w:eastAsia="宋体" w:cs="宋体"/>
                <w:i w:val="0"/>
                <w:iCs w:val="0"/>
                <w:color w:val="000000"/>
                <w:sz w:val="22"/>
                <w:szCs w:val="22"/>
                <w:u w:val="none"/>
              </w:rPr>
            </w:pPr>
          </w:p>
        </w:tc>
      </w:tr>
      <w:tr w14:paraId="1BA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256FFF0">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厚度1档（≤10cm）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320E6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B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A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F444">
            <w:pPr>
              <w:jc w:val="left"/>
              <w:rPr>
                <w:rFonts w:hint="eastAsia" w:ascii="宋体" w:hAnsi="宋体" w:eastAsia="宋体" w:cs="宋体"/>
                <w:i w:val="0"/>
                <w:iCs w:val="0"/>
                <w:color w:val="000000"/>
                <w:sz w:val="22"/>
                <w:szCs w:val="22"/>
                <w:u w:val="none"/>
              </w:rPr>
            </w:pPr>
          </w:p>
        </w:tc>
      </w:tr>
      <w:tr w14:paraId="7102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DD331FC">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8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厚度2档（10cm以上）</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0C67C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C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9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82C3">
            <w:pPr>
              <w:jc w:val="left"/>
              <w:rPr>
                <w:rFonts w:hint="eastAsia" w:ascii="宋体" w:hAnsi="宋体" w:eastAsia="宋体" w:cs="宋体"/>
                <w:i w:val="0"/>
                <w:iCs w:val="0"/>
                <w:color w:val="000000"/>
                <w:sz w:val="22"/>
                <w:szCs w:val="22"/>
                <w:u w:val="none"/>
              </w:rPr>
            </w:pPr>
          </w:p>
        </w:tc>
      </w:tr>
      <w:tr w14:paraId="7D64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农机具用房</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72D0EF9C">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2F705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简易结构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C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0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包括田间地头的农机具用棚，禽、畜圈，厕所。</w:t>
            </w:r>
          </w:p>
        </w:tc>
      </w:tr>
      <w:tr w14:paraId="75B6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7C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人工沟渠</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F4CE">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2FC0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9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B4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补偿以沟渠内空体积计量。</w:t>
            </w:r>
          </w:p>
        </w:tc>
      </w:tr>
      <w:tr w14:paraId="0A2A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50BD">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FF74">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7C032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毛石浆砌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A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7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9D16">
            <w:pPr>
              <w:jc w:val="left"/>
              <w:rPr>
                <w:rFonts w:hint="eastAsia" w:ascii="宋体" w:hAnsi="宋体" w:eastAsia="宋体" w:cs="宋体"/>
                <w:i w:val="0"/>
                <w:iCs w:val="0"/>
                <w:color w:val="000000"/>
                <w:sz w:val="22"/>
                <w:szCs w:val="22"/>
                <w:u w:val="none"/>
              </w:rPr>
            </w:pPr>
          </w:p>
        </w:tc>
      </w:tr>
      <w:tr w14:paraId="6F0E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1CB3">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8E99">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1A495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砖砌体</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E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9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666C">
            <w:pPr>
              <w:jc w:val="left"/>
              <w:rPr>
                <w:rFonts w:hint="eastAsia" w:ascii="宋体" w:hAnsi="宋体" w:eastAsia="宋体" w:cs="宋体"/>
                <w:i w:val="0"/>
                <w:iCs w:val="0"/>
                <w:color w:val="000000"/>
                <w:sz w:val="22"/>
                <w:szCs w:val="22"/>
                <w:u w:val="none"/>
              </w:rPr>
            </w:pPr>
          </w:p>
        </w:tc>
      </w:tr>
      <w:tr w14:paraId="0B4B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D7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下水涵管</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75CD2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直径1档（500mm以下）</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22023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0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5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0758">
            <w:pPr>
              <w:jc w:val="left"/>
              <w:rPr>
                <w:rFonts w:hint="eastAsia" w:ascii="宋体" w:hAnsi="宋体" w:eastAsia="宋体" w:cs="宋体"/>
                <w:i w:val="0"/>
                <w:iCs w:val="0"/>
                <w:color w:val="000000"/>
                <w:sz w:val="22"/>
                <w:szCs w:val="22"/>
                <w:u w:val="none"/>
              </w:rPr>
            </w:pPr>
          </w:p>
        </w:tc>
      </w:tr>
      <w:tr w14:paraId="5A34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6FCF">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5ADF4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直径2档（500-1000mm）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55C00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2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C3BD">
            <w:pPr>
              <w:jc w:val="left"/>
              <w:rPr>
                <w:rFonts w:hint="eastAsia" w:ascii="宋体" w:hAnsi="宋体" w:eastAsia="宋体" w:cs="宋体"/>
                <w:i w:val="0"/>
                <w:iCs w:val="0"/>
                <w:color w:val="000000"/>
                <w:sz w:val="22"/>
                <w:szCs w:val="22"/>
                <w:u w:val="none"/>
              </w:rPr>
            </w:pPr>
          </w:p>
        </w:tc>
      </w:tr>
      <w:tr w14:paraId="2A2B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794C">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04233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直径3档（1000-1500mm）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7FB1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0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3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D0DE">
            <w:pPr>
              <w:jc w:val="left"/>
              <w:rPr>
                <w:rFonts w:hint="eastAsia" w:ascii="宋体" w:hAnsi="宋体" w:eastAsia="宋体" w:cs="宋体"/>
                <w:i w:val="0"/>
                <w:iCs w:val="0"/>
                <w:color w:val="000000"/>
                <w:sz w:val="22"/>
                <w:szCs w:val="22"/>
                <w:u w:val="none"/>
              </w:rPr>
            </w:pPr>
          </w:p>
        </w:tc>
      </w:tr>
      <w:tr w14:paraId="6345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F9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U型水泥预制水槽</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深度开口尺寸（30cm×40cm）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247A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E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7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BB6D">
            <w:pPr>
              <w:jc w:val="left"/>
              <w:rPr>
                <w:rFonts w:hint="eastAsia" w:ascii="宋体" w:hAnsi="宋体" w:eastAsia="宋体" w:cs="宋体"/>
                <w:i w:val="0"/>
                <w:iCs w:val="0"/>
                <w:color w:val="000000"/>
                <w:sz w:val="22"/>
                <w:szCs w:val="22"/>
                <w:u w:val="none"/>
              </w:rPr>
            </w:pPr>
          </w:p>
        </w:tc>
      </w:tr>
      <w:tr w14:paraId="6888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DF32">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C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深度开口尺寸（35cm×50cm）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33F5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8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D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117C">
            <w:pPr>
              <w:jc w:val="left"/>
              <w:rPr>
                <w:rFonts w:hint="eastAsia" w:ascii="宋体" w:hAnsi="宋体" w:eastAsia="宋体" w:cs="宋体"/>
                <w:i w:val="0"/>
                <w:iCs w:val="0"/>
                <w:color w:val="000000"/>
                <w:sz w:val="22"/>
                <w:szCs w:val="22"/>
                <w:u w:val="none"/>
              </w:rPr>
            </w:pPr>
          </w:p>
        </w:tc>
      </w:tr>
      <w:tr w14:paraId="0A58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9D0D">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1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深度开口尺寸（50cm×60cm）</w:t>
            </w:r>
          </w:p>
        </w:tc>
        <w:tc>
          <w:tcPr>
            <w:tcW w:w="754" w:type="pct"/>
            <w:tcBorders>
              <w:top w:val="single" w:color="000000" w:sz="4" w:space="0"/>
              <w:left w:val="single" w:color="000000" w:sz="4" w:space="0"/>
              <w:bottom w:val="single" w:color="000000" w:sz="4" w:space="0"/>
              <w:right w:val="nil"/>
            </w:tcBorders>
            <w:shd w:val="clear" w:color="auto" w:fill="auto"/>
            <w:vAlign w:val="center"/>
          </w:tcPr>
          <w:p w14:paraId="3E25C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9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97DA">
            <w:pPr>
              <w:jc w:val="left"/>
              <w:rPr>
                <w:rFonts w:hint="eastAsia" w:ascii="宋体" w:hAnsi="宋体" w:eastAsia="宋体" w:cs="宋体"/>
                <w:i w:val="0"/>
                <w:iCs w:val="0"/>
                <w:color w:val="000000"/>
                <w:sz w:val="22"/>
                <w:szCs w:val="22"/>
                <w:u w:val="none"/>
              </w:rPr>
            </w:pPr>
          </w:p>
        </w:tc>
      </w:tr>
      <w:tr w14:paraId="6CAC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1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涵盖板</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602C">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163E9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4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宽度40cm</w:t>
            </w:r>
          </w:p>
        </w:tc>
      </w:tr>
      <w:tr w14:paraId="02E4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起闭闸门</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28EA7A7C">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13AE3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钢制闸门（1m*0.8m）</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E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1621">
            <w:pPr>
              <w:jc w:val="left"/>
              <w:rPr>
                <w:rFonts w:hint="eastAsia" w:ascii="宋体" w:hAnsi="宋体" w:eastAsia="宋体" w:cs="宋体"/>
                <w:i w:val="0"/>
                <w:iCs w:val="0"/>
                <w:color w:val="000000"/>
                <w:sz w:val="22"/>
                <w:szCs w:val="22"/>
                <w:u w:val="none"/>
              </w:rPr>
            </w:pPr>
          </w:p>
        </w:tc>
      </w:tr>
      <w:tr w14:paraId="5EEE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nil"/>
              <w:left w:val="single" w:color="000000" w:sz="4" w:space="0"/>
              <w:bottom w:val="nil"/>
              <w:right w:val="single" w:color="000000" w:sz="4" w:space="0"/>
            </w:tcBorders>
            <w:shd w:val="clear" w:color="auto" w:fill="auto"/>
            <w:vAlign w:val="center"/>
          </w:tcPr>
          <w:p w14:paraId="5DC0B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其他水工建筑</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353A7813">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5FB9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土垒</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2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0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5" w:type="pct"/>
            <w:vMerge w:val="restart"/>
            <w:tcBorders>
              <w:top w:val="nil"/>
              <w:left w:val="single" w:color="000000" w:sz="4" w:space="0"/>
              <w:bottom w:val="nil"/>
              <w:right w:val="single" w:color="000000" w:sz="4" w:space="0"/>
            </w:tcBorders>
            <w:shd w:val="clear" w:color="auto" w:fill="auto"/>
            <w:vAlign w:val="center"/>
          </w:tcPr>
          <w:p w14:paraId="39B4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包含起闭闸、机台斗门、滚水坝、塘坵、塘踏步、护坡、驳岸等</w:t>
            </w:r>
          </w:p>
        </w:tc>
      </w:tr>
      <w:tr w14:paraId="2696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14:paraId="33D4DFB7">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327D7B5E">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1F57E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毛石干砌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85" w:type="pct"/>
            <w:vMerge w:val="continue"/>
            <w:tcBorders>
              <w:top w:val="nil"/>
              <w:left w:val="single" w:color="000000" w:sz="4" w:space="0"/>
              <w:bottom w:val="nil"/>
              <w:right w:val="single" w:color="000000" w:sz="4" w:space="0"/>
            </w:tcBorders>
            <w:shd w:val="clear" w:color="auto" w:fill="auto"/>
            <w:vAlign w:val="center"/>
          </w:tcPr>
          <w:p w14:paraId="69F68C4C">
            <w:pPr>
              <w:jc w:val="center"/>
              <w:rPr>
                <w:rFonts w:hint="eastAsia" w:ascii="宋体" w:hAnsi="宋体" w:eastAsia="宋体" w:cs="宋体"/>
                <w:i w:val="0"/>
                <w:iCs w:val="0"/>
                <w:color w:val="000000"/>
                <w:sz w:val="22"/>
                <w:szCs w:val="22"/>
                <w:u w:val="none"/>
              </w:rPr>
            </w:pPr>
          </w:p>
        </w:tc>
      </w:tr>
      <w:tr w14:paraId="703A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14:paraId="49B80A20">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438BB5E0">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0385D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毛石浆砌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2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9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785" w:type="pct"/>
            <w:vMerge w:val="continue"/>
            <w:tcBorders>
              <w:top w:val="nil"/>
              <w:left w:val="single" w:color="000000" w:sz="4" w:space="0"/>
              <w:bottom w:val="nil"/>
              <w:right w:val="single" w:color="000000" w:sz="4" w:space="0"/>
            </w:tcBorders>
            <w:shd w:val="clear" w:color="auto" w:fill="auto"/>
            <w:vAlign w:val="center"/>
          </w:tcPr>
          <w:p w14:paraId="00270567">
            <w:pPr>
              <w:jc w:val="center"/>
              <w:rPr>
                <w:rFonts w:hint="eastAsia" w:ascii="宋体" w:hAnsi="宋体" w:eastAsia="宋体" w:cs="宋体"/>
                <w:i w:val="0"/>
                <w:iCs w:val="0"/>
                <w:color w:val="000000"/>
                <w:sz w:val="22"/>
                <w:szCs w:val="22"/>
                <w:u w:val="none"/>
              </w:rPr>
            </w:pPr>
          </w:p>
        </w:tc>
      </w:tr>
      <w:tr w14:paraId="31E7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14:paraId="1800CAF8">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76C4D3EE">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1BAAD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5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vMerge w:val="continue"/>
            <w:tcBorders>
              <w:top w:val="nil"/>
              <w:left w:val="single" w:color="000000" w:sz="4" w:space="0"/>
              <w:bottom w:val="nil"/>
              <w:right w:val="single" w:color="000000" w:sz="4" w:space="0"/>
            </w:tcBorders>
            <w:shd w:val="clear" w:color="auto" w:fill="auto"/>
            <w:vAlign w:val="center"/>
          </w:tcPr>
          <w:p w14:paraId="5FD7D503">
            <w:pPr>
              <w:jc w:val="center"/>
              <w:rPr>
                <w:rFonts w:hint="eastAsia" w:ascii="宋体" w:hAnsi="宋体" w:eastAsia="宋体" w:cs="宋体"/>
                <w:i w:val="0"/>
                <w:iCs w:val="0"/>
                <w:color w:val="000000"/>
                <w:sz w:val="22"/>
                <w:szCs w:val="22"/>
                <w:u w:val="none"/>
              </w:rPr>
            </w:pPr>
          </w:p>
        </w:tc>
      </w:tr>
      <w:tr w14:paraId="2589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nil"/>
              <w:left w:val="single" w:color="000000" w:sz="4" w:space="0"/>
              <w:bottom w:val="nil"/>
              <w:right w:val="single" w:color="000000" w:sz="4" w:space="0"/>
            </w:tcBorders>
            <w:shd w:val="clear" w:color="auto" w:fill="auto"/>
            <w:vAlign w:val="center"/>
          </w:tcPr>
          <w:p w14:paraId="2A47D8B9">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1432D34A">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07B85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7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785" w:type="pct"/>
            <w:vMerge w:val="continue"/>
            <w:tcBorders>
              <w:top w:val="nil"/>
              <w:left w:val="single" w:color="000000" w:sz="4" w:space="0"/>
              <w:bottom w:val="nil"/>
              <w:right w:val="single" w:color="000000" w:sz="4" w:space="0"/>
            </w:tcBorders>
            <w:shd w:val="clear" w:color="auto" w:fill="auto"/>
            <w:vAlign w:val="center"/>
          </w:tcPr>
          <w:p w14:paraId="606B2E4E">
            <w:pPr>
              <w:jc w:val="center"/>
              <w:rPr>
                <w:rFonts w:hint="eastAsia" w:ascii="宋体" w:hAnsi="宋体" w:eastAsia="宋体" w:cs="宋体"/>
                <w:i w:val="0"/>
                <w:iCs w:val="0"/>
                <w:color w:val="000000"/>
                <w:sz w:val="22"/>
                <w:szCs w:val="22"/>
                <w:u w:val="none"/>
              </w:rPr>
            </w:pPr>
          </w:p>
        </w:tc>
      </w:tr>
      <w:tr w14:paraId="3608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3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窖</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0EF1D9A5">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4DE7A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砖石（混）窖</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1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6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A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以容积计算</w:t>
            </w:r>
          </w:p>
        </w:tc>
      </w:tr>
      <w:tr w14:paraId="0CC4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22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w:t>
            </w: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7CCEA439">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16D7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4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0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E3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以容积计算</w:t>
            </w:r>
          </w:p>
        </w:tc>
      </w:tr>
      <w:tr w14:paraId="11E5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2D57">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765EF5F4">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noWrap/>
            <w:vAlign w:val="center"/>
          </w:tcPr>
          <w:p w14:paraId="3D0A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砖砌体</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9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079F">
            <w:pPr>
              <w:jc w:val="left"/>
              <w:rPr>
                <w:rFonts w:hint="eastAsia" w:ascii="宋体" w:hAnsi="宋体" w:eastAsia="宋体" w:cs="宋体"/>
                <w:i w:val="0"/>
                <w:iCs w:val="0"/>
                <w:color w:val="000000"/>
                <w:sz w:val="22"/>
                <w:szCs w:val="22"/>
                <w:u w:val="none"/>
              </w:rPr>
            </w:pPr>
          </w:p>
        </w:tc>
      </w:tr>
      <w:tr w14:paraId="15E4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94AFE">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nil"/>
            </w:tcBorders>
            <w:shd w:val="clear" w:color="auto" w:fill="auto"/>
            <w:vAlign w:val="center"/>
          </w:tcPr>
          <w:p w14:paraId="444A8A62">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nil"/>
            </w:tcBorders>
            <w:shd w:val="clear" w:color="auto" w:fill="auto"/>
            <w:vAlign w:val="center"/>
          </w:tcPr>
          <w:p w14:paraId="5DB6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8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0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18FB">
            <w:pPr>
              <w:jc w:val="left"/>
              <w:rPr>
                <w:rFonts w:hint="eastAsia" w:ascii="宋体" w:hAnsi="宋体" w:eastAsia="宋体" w:cs="宋体"/>
                <w:i w:val="0"/>
                <w:iCs w:val="0"/>
                <w:color w:val="000000"/>
                <w:sz w:val="22"/>
                <w:szCs w:val="22"/>
                <w:u w:val="none"/>
              </w:rPr>
            </w:pPr>
          </w:p>
        </w:tc>
      </w:tr>
      <w:tr w14:paraId="51AA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坟墓</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38A2">
            <w:pPr>
              <w:rPr>
                <w:rFonts w:hint="eastAsia" w:ascii="宋体" w:hAnsi="宋体" w:eastAsia="宋体" w:cs="宋体"/>
                <w:i w:val="0"/>
                <w:iCs w:val="0"/>
                <w:color w:val="000000"/>
                <w:sz w:val="22"/>
                <w:szCs w:val="22"/>
                <w:u w:val="none"/>
              </w:rPr>
            </w:pP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2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8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2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3137">
            <w:pPr>
              <w:jc w:val="left"/>
              <w:rPr>
                <w:rFonts w:hint="eastAsia" w:ascii="宋体" w:hAnsi="宋体" w:eastAsia="宋体" w:cs="宋体"/>
                <w:i w:val="0"/>
                <w:iCs w:val="0"/>
                <w:color w:val="000000"/>
                <w:sz w:val="22"/>
                <w:szCs w:val="22"/>
                <w:u w:val="none"/>
              </w:rPr>
            </w:pPr>
          </w:p>
        </w:tc>
      </w:tr>
      <w:tr w14:paraId="005B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304">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D51">
            <w:pPr>
              <w:rPr>
                <w:rFonts w:hint="eastAsia" w:ascii="宋体" w:hAnsi="宋体" w:eastAsia="宋体" w:cs="宋体"/>
                <w:i w:val="0"/>
                <w:iCs w:val="0"/>
                <w:color w:val="000000"/>
                <w:sz w:val="22"/>
                <w:szCs w:val="22"/>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5AB7">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7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B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274F">
            <w:pPr>
              <w:jc w:val="left"/>
              <w:rPr>
                <w:rFonts w:hint="eastAsia" w:ascii="宋体" w:hAnsi="宋体" w:eastAsia="宋体" w:cs="宋体"/>
                <w:i w:val="0"/>
                <w:iCs w:val="0"/>
                <w:color w:val="000000"/>
                <w:sz w:val="22"/>
                <w:szCs w:val="22"/>
                <w:u w:val="none"/>
              </w:rPr>
            </w:pPr>
          </w:p>
        </w:tc>
      </w:tr>
      <w:tr w14:paraId="5A30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F4C9">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8C4B">
            <w:pPr>
              <w:rPr>
                <w:rFonts w:hint="eastAsia" w:ascii="宋体" w:hAnsi="宋体" w:eastAsia="宋体" w:cs="宋体"/>
                <w:i w:val="0"/>
                <w:iCs w:val="0"/>
                <w:color w:val="000000"/>
                <w:sz w:val="22"/>
                <w:szCs w:val="22"/>
                <w:u w:val="none"/>
              </w:rPr>
            </w:pP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4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C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B091">
            <w:pPr>
              <w:jc w:val="left"/>
              <w:rPr>
                <w:rFonts w:hint="eastAsia" w:ascii="宋体" w:hAnsi="宋体" w:eastAsia="宋体" w:cs="宋体"/>
                <w:i w:val="0"/>
                <w:iCs w:val="0"/>
                <w:color w:val="000000"/>
                <w:sz w:val="22"/>
                <w:szCs w:val="22"/>
                <w:u w:val="none"/>
              </w:rPr>
            </w:pPr>
          </w:p>
        </w:tc>
      </w:tr>
      <w:tr w14:paraId="1779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0EFA">
            <w:pPr>
              <w:jc w:val="cente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D255">
            <w:pPr>
              <w:rPr>
                <w:rFonts w:hint="eastAsia" w:ascii="宋体" w:hAnsi="宋体" w:eastAsia="宋体" w:cs="宋体"/>
                <w:i w:val="0"/>
                <w:iCs w:val="0"/>
                <w:color w:val="000000"/>
                <w:sz w:val="22"/>
                <w:szCs w:val="22"/>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ADA8">
            <w:pPr>
              <w:jc w:val="center"/>
              <w:rPr>
                <w:rFonts w:hint="eastAsia" w:ascii="宋体" w:hAnsi="宋体" w:eastAsia="宋体" w:cs="宋体"/>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8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59E2">
            <w:pPr>
              <w:jc w:val="left"/>
              <w:rPr>
                <w:rFonts w:hint="eastAsia" w:ascii="宋体" w:hAnsi="宋体" w:eastAsia="宋体" w:cs="宋体"/>
                <w:i w:val="0"/>
                <w:iCs w:val="0"/>
                <w:color w:val="000000"/>
                <w:sz w:val="22"/>
                <w:szCs w:val="22"/>
                <w:u w:val="none"/>
              </w:rPr>
            </w:pPr>
          </w:p>
        </w:tc>
      </w:tr>
      <w:tr w14:paraId="616F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6" w:type="pct"/>
            <w:tcBorders>
              <w:top w:val="nil"/>
              <w:left w:val="nil"/>
              <w:bottom w:val="nil"/>
              <w:right w:val="nil"/>
            </w:tcBorders>
            <w:shd w:val="clear" w:color="auto" w:fill="auto"/>
            <w:noWrap/>
            <w:vAlign w:val="center"/>
          </w:tcPr>
          <w:p w14:paraId="18B03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103" w:type="pct"/>
            <w:gridSpan w:val="5"/>
            <w:tcBorders>
              <w:top w:val="nil"/>
              <w:left w:val="nil"/>
              <w:bottom w:val="nil"/>
              <w:right w:val="nil"/>
            </w:tcBorders>
            <w:shd w:val="clear" w:color="auto" w:fill="auto"/>
            <w:noWrap/>
            <w:vAlign w:val="center"/>
          </w:tcPr>
          <w:p w14:paraId="6EEE8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以上标准未涉及或与实际价值差异较大的，可申请专项评估确定补偿额。</w:t>
            </w:r>
          </w:p>
        </w:tc>
      </w:tr>
    </w:tbl>
    <w:p w14:paraId="27A5DEFC">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p>
    <w:sectPr>
      <w:pgSz w:w="16838" w:h="11906" w:orient="landscape"/>
      <w:pgMar w:top="1417" w:right="2098" w:bottom="113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mso-generic-font-family : au">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04E8"/>
    <w:multiLevelType w:val="singleLevel"/>
    <w:tmpl w:val="A3A104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YTlmZGJjYTg0MDA1MjJkOTU3M2QxYjljYWJmZDIifQ=="/>
  </w:docVars>
  <w:rsids>
    <w:rsidRoot w:val="3ED12CA2"/>
    <w:rsid w:val="03100052"/>
    <w:rsid w:val="13B67364"/>
    <w:rsid w:val="178C6B68"/>
    <w:rsid w:val="1DD23359"/>
    <w:rsid w:val="22053DC1"/>
    <w:rsid w:val="25695674"/>
    <w:rsid w:val="2BFA4688"/>
    <w:rsid w:val="343805CF"/>
    <w:rsid w:val="3ED12CA2"/>
    <w:rsid w:val="43052AC2"/>
    <w:rsid w:val="465F4FFC"/>
    <w:rsid w:val="4D970721"/>
    <w:rsid w:val="4E772300"/>
    <w:rsid w:val="58A61DF1"/>
    <w:rsid w:val="5BD82630"/>
    <w:rsid w:val="5D50269A"/>
    <w:rsid w:val="61D7572C"/>
    <w:rsid w:val="64AC5CCA"/>
    <w:rsid w:val="67B055C7"/>
    <w:rsid w:val="6D816D5D"/>
    <w:rsid w:val="73D4107E"/>
    <w:rsid w:val="7709593C"/>
    <w:rsid w:val="7868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1016</Words>
  <Characters>1126</Characters>
  <Lines>0</Lines>
  <Paragraphs>0</Paragraphs>
  <TotalTime>25</TotalTime>
  <ScaleCrop>false</ScaleCrop>
  <LinksUpToDate>false</LinksUpToDate>
  <CharactersWithSpaces>1142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2024-07-23T00:39:00Z</dcterms:created>
  <dc:creator>千岛之余</dc:creator>
  <cp:lastModifiedBy>Mr-YJ</cp:lastModifiedBy>
  <cp:lastPrinted>2025-03-28T11:03:00Z</cp:lastPrinted>
  <dcterms:modified xsi:type="dcterms:W3CDTF">2025-04-02T09:10:19Z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74CE211246974308ACCD73068F9DA72D_13</vt:lpwstr>
  </property>
  <property fmtid="{D5CDD505-2E9C-101B-9397-08002B2CF9AE}" pid="4" name="KSOTemplateDocerSaveRecord">
    <vt:lpwstr>eyJoZGlkIjoiZWI1YTlmZGJjYTg0MDA1MjJkOTU3M2QxYjljYWJmZDIiLCJ1c2VySWQiOiI1NDY2ODIxNjQifQ==</vt:lpwstr>
  </property>
</Properties>
</file>