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DA02F">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勘查许可变更（探矿权人名称）申请</w:t>
      </w:r>
    </w:p>
    <w:p w14:paraId="61BFAB74">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临时服务指南</w:t>
      </w:r>
    </w:p>
    <w:p w14:paraId="1109C03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p>
    <w:p w14:paraId="0CA7CA4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16B8D16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勘查许可</w:t>
      </w:r>
      <w:r>
        <w:rPr>
          <w:rFonts w:hint="eastAsia" w:ascii="Times New Roman" w:hAnsi="Times New Roman" w:eastAsia="仿宋_GB2312" w:cs="Times New Roman"/>
          <w:bCs/>
          <w:color w:val="auto"/>
          <w:sz w:val="32"/>
          <w:szCs w:val="30"/>
          <w:highlight w:val="none"/>
        </w:rPr>
        <w:t>变更</w:t>
      </w:r>
      <w:r>
        <w:rPr>
          <w:rFonts w:hint="eastAsia" w:ascii="Times New Roman" w:hAnsi="Times New Roman" w:eastAsia="仿宋_GB2312" w:cs="Times New Roman"/>
          <w:bCs/>
          <w:color w:val="auto"/>
          <w:sz w:val="32"/>
          <w:szCs w:val="30"/>
          <w:highlight w:val="none"/>
          <w:lang w:eastAsia="zh-CN"/>
        </w:rPr>
        <w:t>（</w:t>
      </w:r>
      <w:r>
        <w:rPr>
          <w:rFonts w:hint="eastAsia" w:ascii="Times New Roman" w:hAnsi="Times New Roman" w:eastAsia="仿宋_GB2312" w:cs="Times New Roman"/>
          <w:bCs/>
          <w:color w:val="auto"/>
          <w:sz w:val="32"/>
          <w:szCs w:val="30"/>
          <w:highlight w:val="none"/>
          <w:lang w:val="en" w:eastAsia="zh-CN"/>
        </w:rPr>
        <w:t>探矿权人名称</w:t>
      </w:r>
      <w:r>
        <w:rPr>
          <w:rFonts w:hint="eastAsia" w:ascii="Times New Roman" w:hAnsi="Times New Roman" w:eastAsia="仿宋_GB2312" w:cs="Times New Roman"/>
          <w:bCs/>
          <w:color w:val="auto"/>
          <w:sz w:val="32"/>
          <w:szCs w:val="30"/>
          <w:highlight w:val="none"/>
          <w:lang w:eastAsia="zh-CN"/>
        </w:rPr>
        <w:t>）</w:t>
      </w:r>
      <w:r>
        <w:rPr>
          <w:rFonts w:hint="eastAsia" w:ascii="Times New Roman" w:hAnsi="Times New Roman" w:eastAsia="仿宋_GB2312" w:cs="Times New Roman"/>
          <w:bCs/>
          <w:color w:val="auto"/>
          <w:sz w:val="32"/>
          <w:szCs w:val="30"/>
          <w:highlight w:val="none"/>
        </w:rPr>
        <w:t>的申请和办理。</w:t>
      </w:r>
    </w:p>
    <w:p w14:paraId="25B8972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6DB15EE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082B167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（探矿权人名称）</w:t>
      </w:r>
      <w:r>
        <w:rPr>
          <w:rFonts w:hint="eastAsia" w:eastAsia="仿宋_GB2312"/>
          <w:color w:val="auto"/>
          <w:sz w:val="32"/>
          <w:szCs w:val="30"/>
          <w:highlight w:val="none"/>
          <w:lang w:val="en-US" w:eastAsia="zh-CN"/>
        </w:rPr>
        <w:t>申请</w:t>
      </w:r>
    </w:p>
    <w:p w14:paraId="6419F91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1801FE7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51A5C43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705A007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1D8CE1B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3F3F531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7AF4C86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0C6079E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2F591C0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026C428C">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rPr>
        <w:t>《</w:t>
      </w:r>
      <w:r>
        <w:rPr>
          <w:rFonts w:eastAsia="仿宋_GB2312"/>
          <w:color w:val="auto"/>
          <w:sz w:val="32"/>
          <w:szCs w:val="30"/>
        </w:rPr>
        <w:t>中华人民共和国</w:t>
      </w:r>
      <w:r>
        <w:rPr>
          <w:rFonts w:hint="eastAsia" w:ascii="仿宋_GB2312" w:eastAsia="仿宋_GB2312"/>
          <w:color w:val="auto"/>
          <w:sz w:val="32"/>
          <w:szCs w:val="30"/>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48424D54">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0E4795C3">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rPr>
        <w:t>申请材料齐全、符合法定形式；（行政许可法第三十四条）</w:t>
      </w:r>
    </w:p>
    <w:p w14:paraId="673428D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rPr>
        <w:t>2.</w:t>
      </w:r>
      <w:r>
        <w:rPr>
          <w:rFonts w:hint="eastAsia" w:eastAsia="仿宋_GB2312"/>
          <w:bCs/>
          <w:color w:val="auto"/>
          <w:sz w:val="32"/>
          <w:szCs w:val="30"/>
          <w:highlight w:val="none"/>
        </w:rPr>
        <w:t>法律法规规章规范性文件对行政许可条件作出调整的，根据新的规定执行。</w:t>
      </w:r>
    </w:p>
    <w:p w14:paraId="0BBA23E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2A68408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4601C77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5193ABC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7885E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491EFFD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217" w:type="dxa"/>
            <w:shd w:val="clear" w:color="auto" w:fill="auto"/>
            <w:noWrap w:val="0"/>
            <w:vAlign w:val="center"/>
          </w:tcPr>
          <w:p w14:paraId="72781D10">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0D57D96A">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661C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26" w:hRule="atLeast"/>
          <w:jc w:val="center"/>
        </w:trPr>
        <w:tc>
          <w:tcPr>
            <w:tcW w:w="426" w:type="dxa"/>
            <w:shd w:val="clear" w:color="auto" w:fill="auto"/>
            <w:noWrap w:val="0"/>
            <w:vAlign w:val="center"/>
          </w:tcPr>
          <w:p w14:paraId="13597D73">
            <w:pPr>
              <w:keepNext w:val="0"/>
              <w:keepLines w:val="0"/>
              <w:pageBreakBefore w:val="0"/>
              <w:widowControl/>
              <w:kinsoku/>
              <w:wordWrap/>
              <w:overflowPunct/>
              <w:topLinePunct w:val="0"/>
              <w:autoSpaceDE/>
              <w:autoSpaceDN/>
              <w:bidi w:val="0"/>
              <w:adjustRightInd/>
              <w:spacing w:line="240" w:lineRule="auto"/>
              <w:jc w:val="center"/>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217" w:type="dxa"/>
            <w:shd w:val="clear" w:color="auto" w:fill="auto"/>
            <w:noWrap w:val="0"/>
            <w:vAlign w:val="center"/>
          </w:tcPr>
          <w:p w14:paraId="5B18B8F2">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0FD4FC97">
            <w:pPr>
              <w:keepNext w:val="0"/>
              <w:keepLines w:val="0"/>
              <w:pageBreakBefore w:val="0"/>
              <w:widowControl/>
              <w:kinsoku/>
              <w:wordWrap/>
              <w:overflowPunct/>
              <w:topLinePunct w:val="0"/>
              <w:autoSpaceDE/>
              <w:autoSpaceDN/>
              <w:bidi w:val="0"/>
              <w:adjustRightInd/>
              <w:spacing w:before="100" w:beforeAutospacing="1" w:after="100" w:afterAutospacing="1" w:line="24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申请探矿权变更登记（探矿权人名称）的，可一并提交勘查许可证变更申请（探矿权人名称），提交此资料。</w:t>
            </w:r>
          </w:p>
        </w:tc>
      </w:tr>
      <w:tr w14:paraId="263B1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01" w:hRule="atLeast"/>
          <w:jc w:val="center"/>
        </w:trPr>
        <w:tc>
          <w:tcPr>
            <w:tcW w:w="426" w:type="dxa"/>
            <w:shd w:val="clear" w:color="auto" w:fill="auto"/>
            <w:noWrap w:val="0"/>
            <w:vAlign w:val="center"/>
          </w:tcPr>
          <w:p w14:paraId="7AAC82EE">
            <w:pPr>
              <w:keepNext w:val="0"/>
              <w:keepLines w:val="0"/>
              <w:pageBreakBefore w:val="0"/>
              <w:widowControl/>
              <w:kinsoku/>
              <w:wordWrap/>
              <w:overflowPunct/>
              <w:topLinePunct w:val="0"/>
              <w:autoSpaceDE/>
              <w:autoSpaceDN/>
              <w:bidi w:val="0"/>
              <w:adjustRightInd/>
              <w:spacing w:line="24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2</w:t>
            </w:r>
          </w:p>
        </w:tc>
        <w:tc>
          <w:tcPr>
            <w:tcW w:w="3217" w:type="dxa"/>
            <w:shd w:val="clear" w:color="auto" w:fill="auto"/>
            <w:noWrap w:val="0"/>
            <w:vAlign w:val="center"/>
          </w:tcPr>
          <w:p w14:paraId="663A0585">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320B80B7">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3D6DA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58" w:hRule="atLeast"/>
          <w:jc w:val="center"/>
        </w:trPr>
        <w:tc>
          <w:tcPr>
            <w:tcW w:w="426" w:type="dxa"/>
            <w:shd w:val="clear" w:color="auto" w:fill="auto"/>
            <w:noWrap w:val="0"/>
            <w:vAlign w:val="center"/>
          </w:tcPr>
          <w:p w14:paraId="2C1924AF">
            <w:pPr>
              <w:keepNext w:val="0"/>
              <w:keepLines w:val="0"/>
              <w:pageBreakBefore w:val="0"/>
              <w:widowControl/>
              <w:kinsoku/>
              <w:wordWrap/>
              <w:overflowPunct/>
              <w:topLinePunct w:val="0"/>
              <w:autoSpaceDE/>
              <w:autoSpaceDN/>
              <w:bidi w:val="0"/>
              <w:adjustRightInd/>
              <w:spacing w:line="240" w:lineRule="auto"/>
              <w:jc w:val="center"/>
              <w:textAlignment w:val="auto"/>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val="en-US" w:eastAsia="zh-CN"/>
              </w:rPr>
              <w:t>3</w:t>
            </w:r>
          </w:p>
        </w:tc>
        <w:tc>
          <w:tcPr>
            <w:tcW w:w="3217" w:type="dxa"/>
            <w:shd w:val="clear" w:color="auto" w:fill="auto"/>
            <w:noWrap w:val="0"/>
            <w:vAlign w:val="center"/>
          </w:tcPr>
          <w:p w14:paraId="18FE624B">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74D1D740">
            <w:pPr>
              <w:keepNext w:val="0"/>
              <w:keepLines w:val="0"/>
              <w:pageBreakBefore w:val="0"/>
              <w:widowControl/>
              <w:numPr>
                <w:ilvl w:val="0"/>
                <w:numId w:val="1"/>
              </w:numPr>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申请探矿权变更登记（探矿权人名称）的，可一并提交勘查许可证变更申请（探矿权人名称），并共享此资料。</w:t>
            </w:r>
          </w:p>
          <w:p w14:paraId="540AA50A">
            <w:pPr>
              <w:keepNext w:val="0"/>
              <w:keepLines w:val="0"/>
              <w:pageBreakBefore w:val="0"/>
              <w:widowControl/>
              <w:numPr>
                <w:ilvl w:val="0"/>
                <w:numId w:val="1"/>
              </w:numPr>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default" w:ascii="仿宋_GB2312" w:eastAsia="仿宋_GB2312"/>
                <w:color w:val="auto"/>
                <w:kern w:val="0"/>
                <w:sz w:val="24"/>
                <w:szCs w:val="24"/>
                <w:highlight w:val="none"/>
                <w:lang w:val="en-US" w:eastAsia="zh-CN"/>
              </w:rPr>
              <w:t>《矿产资源法》实施前登记的矿业权，提交勘查许可证。</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6A700226">
      <w:pPr>
        <w:rPr>
          <w:rFonts w:hint="eastAsia" w:ascii="Times New Roman" w:hAnsi="Times New Roman" w:eastAsia="黑体" w:cs="Times New Roman"/>
          <w:color w:val="auto"/>
          <w:spacing w:val="220"/>
          <w:sz w:val="52"/>
          <w:szCs w:val="52"/>
          <w:highlight w:val="none"/>
          <w:lang w:eastAsia="zh-CN"/>
        </w:rPr>
      </w:pPr>
      <w:r>
        <w:rPr>
          <w:rFonts w:hint="eastAsia" w:eastAsia="黑体"/>
          <w:color w:val="auto"/>
          <w:sz w:val="32"/>
          <w:szCs w:val="32"/>
          <w:highlight w:val="none"/>
        </w:rPr>
        <w:br w:type="page"/>
      </w: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color w:val="auto"/>
          <w:sz w:val="30"/>
          <w:szCs w:val="30"/>
        </w:rPr>
        <w:t>申请材料示范文本</w:t>
      </w:r>
    </w:p>
    <w:p w14:paraId="44645362">
      <w:pPr>
        <w:pStyle w:val="2"/>
        <w:rPr>
          <w:rFonts w:hint="default"/>
          <w:color w:val="auto"/>
        </w:rPr>
      </w:pPr>
    </w:p>
    <w:p w14:paraId="4D978E4F">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148F501D">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01BB2B76">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3A8CB51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A870EA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E2D92B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FAF899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32DD5E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3BF33A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FFF6D3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17E556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3978E2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0B3FDC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15D860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34D06D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E98355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6A3D8D8">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3C7985F9">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3B88EA02">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629D4D54">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2BAACC77">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1978E6D1">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73E6F11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59986AC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466AD9F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36CDA79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56B04D0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6EF5E91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10DED27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194F20FF">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7137C82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04AD0A99">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10038FE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5A535C08">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1A1C89F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1804D89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3CA3691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2D646A5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3684627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1D1B39E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5C94193E">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3DBFF40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2656DF7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5CC8C8C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20CBC527">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7470B0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4BC995D4">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587" w:right="1587" w:bottom="1587" w:left="1587"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6"/>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5DD6B2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473FAF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7286EE0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6626A8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7668DAD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30CF5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0E72D74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40CA0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776EE66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B135B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14CAA8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0C2E4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7AB2576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DF7AB6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030FB2C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6A6D32A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7E0F79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EA408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6129825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0849D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1037E79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7DB30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3AE492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39240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616FE4C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5CCEC3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70D98B1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4B9167C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382F7D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0EFAD5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92113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6C6DBF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F7065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15A933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54477F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2B8A183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D020EE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3D434E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44EDF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02DBED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29C24F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57A4F1E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6E6397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661B48A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479F61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39F719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BEB4E5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18C0202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029434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0B3806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17E860C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13430C1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0DF610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430F58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659DF878">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137C404F">
            <w:pPr>
              <w:jc w:val="center"/>
              <w:outlineLvl w:val="9"/>
              <w:rPr>
                <w:rFonts w:hint="default"/>
                <w:color w:val="auto"/>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105DD8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6379F97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3EA5D9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1A4038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A01DB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0B861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562E869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1456B63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D3E10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645FD7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32420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2368D6C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7FDA59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20EFA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1F3BA7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3155ADD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65ED198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7DBA91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28DEA9B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53362E2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3E7AD2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3CAEDCE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6B99ECC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939FF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5F3F56B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8C13E6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07125E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31FB86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14DD56F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75F1B22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16AD2FBB">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 xml:space="preserve">首次申请 </w:t>
            </w:r>
          </w:p>
          <w:p w14:paraId="50C7EBBE">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eastAsia="zh-CN"/>
              </w:rPr>
              <w:t>延续</w:t>
            </w:r>
            <w:r>
              <w:rPr>
                <w:rFonts w:hint="default" w:ascii="Times New Roman" w:hAnsi="Times New Roman" w:eastAsia="仿宋_GB2312" w:cs="Times New Roman"/>
                <w:color w:val="auto"/>
                <w:lang w:eastAsia="zh-CN"/>
              </w:rPr>
              <w:t>申请</w:t>
            </w:r>
          </w:p>
          <w:p w14:paraId="33C940B5">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变更申请（扩大勘查区域</w:t>
            </w:r>
            <w:r>
              <w:rPr>
                <w:rFonts w:hint="default" w:ascii="Times New Roman" w:hAnsi="Times New Roman" w:eastAsia="仿宋_GB2312" w:cs="Times New Roman"/>
                <w:color w:val="auto"/>
                <w:lang w:val="en-US" w:eastAsia="zh-CN"/>
              </w:rPr>
              <w:t>）</w:t>
            </w:r>
          </w:p>
          <w:p w14:paraId="3589FA83">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（缩小勘查区域）</w:t>
            </w:r>
          </w:p>
          <w:p w14:paraId="6436E534">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w:t>
            </w:r>
            <w:r>
              <w:rPr>
                <w:rFonts w:hint="eastAsia" w:ascii="Times New Roman" w:hAnsi="Times New Roman" w:eastAsia="仿宋_GB2312" w:cs="Times New Roman"/>
                <w:color w:val="auto"/>
                <w:lang w:val="en-US" w:eastAsia="zh-CN"/>
              </w:rPr>
              <w:t>变更</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人名称</w:t>
            </w:r>
            <w:r>
              <w:rPr>
                <w:rFonts w:hint="default" w:ascii="Times New Roman" w:hAnsi="Times New Roman" w:eastAsia="仿宋_GB2312" w:cs="Times New Roman"/>
                <w:color w:val="auto"/>
                <w:lang w:val="en-US" w:eastAsia="zh-CN"/>
              </w:rPr>
              <w:t>）</w:t>
            </w:r>
          </w:p>
          <w:p w14:paraId="7650610B">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变更</w:t>
            </w:r>
            <w:r>
              <w:rPr>
                <w:rFonts w:hint="eastAsia" w:ascii="Times New Roman" w:hAnsi="Times New Roman" w:eastAsia="仿宋_GB2312" w:cs="Times New Roman"/>
                <w:color w:val="auto"/>
                <w:lang w:val="en-US" w:eastAsia="zh-CN"/>
              </w:rPr>
              <w:t>申请（探矿权转让）</w:t>
            </w:r>
            <w:r>
              <w:rPr>
                <w:rFonts w:hint="default" w:ascii="Times New Roman" w:hAnsi="Times New Roman" w:eastAsia="仿宋_GB2312" w:cs="Times New Roman"/>
                <w:color w:val="auto"/>
                <w:lang w:val="en-US" w:eastAsia="zh-CN"/>
              </w:rPr>
              <w:t xml:space="preserve"> </w:t>
            </w:r>
          </w:p>
          <w:p w14:paraId="35918113">
            <w:pPr>
              <w:snapToGrid w:val="0"/>
              <w:spacing w:line="240" w:lineRule="auto"/>
              <w:jc w:val="left"/>
              <w:outlineLvl w:val="9"/>
              <w:rPr>
                <w:rFonts w:hint="default" w:ascii="Times New Roman" w:hAnsi="Times New Roman" w:eastAsia="仿宋_GB2312" w:cs="Times New Roman"/>
                <w:color w:val="auto"/>
                <w:lang w:val="en-US"/>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注销</w:t>
            </w:r>
            <w:r>
              <w:rPr>
                <w:rFonts w:hint="eastAsia" w:ascii="Times New Roman" w:hAnsi="Times New Roman" w:eastAsia="仿宋_GB2312" w:cs="Times New Roman"/>
                <w:color w:val="auto"/>
                <w:lang w:val="en-US" w:eastAsia="zh-CN"/>
              </w:rPr>
              <w:t>申请</w:t>
            </w:r>
          </w:p>
        </w:tc>
        <w:tc>
          <w:tcPr>
            <w:tcW w:w="1065" w:type="dxa"/>
            <w:gridSpan w:val="3"/>
            <w:tcBorders>
              <w:tl2br w:val="nil"/>
              <w:tr2bl w:val="nil"/>
            </w:tcBorders>
            <w:noWrap w:val="0"/>
            <w:vAlign w:val="center"/>
          </w:tcPr>
          <w:p w14:paraId="54C5C488">
            <w:pPr>
              <w:snapToGrid w:val="0"/>
              <w:spacing w:line="240" w:lineRule="auto"/>
              <w:jc w:val="center"/>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变更情况说明</w:t>
            </w:r>
          </w:p>
        </w:tc>
        <w:tc>
          <w:tcPr>
            <w:tcW w:w="2771" w:type="dxa"/>
            <w:gridSpan w:val="4"/>
            <w:tcBorders>
              <w:tl2br w:val="nil"/>
              <w:tr2bl w:val="nil"/>
            </w:tcBorders>
            <w:noWrap w:val="0"/>
            <w:vAlign w:val="center"/>
          </w:tcPr>
          <w:p w14:paraId="4A660684">
            <w:pPr>
              <w:snapToGrid w:val="0"/>
              <w:spacing w:line="240" w:lineRule="auto"/>
              <w:jc w:val="left"/>
              <w:outlineLvl w:val="9"/>
              <w:rPr>
                <w:rFonts w:hint="default" w:ascii="Times New Roman" w:hAnsi="Times New Roman" w:eastAsia="仿宋_GB2312" w:cs="Times New Roman"/>
                <w:color w:val="auto"/>
                <w:lang w:eastAsia="zh-CN"/>
              </w:rPr>
            </w:pPr>
          </w:p>
        </w:tc>
      </w:tr>
      <w:tr w14:paraId="7C063A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4C8E433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首次申请</w:t>
            </w:r>
            <w:r>
              <w:rPr>
                <w:rFonts w:hint="eastAsia" w:ascii="Times New Roman" w:hAnsi="Times New Roman" w:eastAsia="仿宋_GB2312" w:cs="Times New Roman"/>
                <w:color w:val="auto"/>
                <w:lang w:val="en-US" w:eastAsia="zh-CN"/>
              </w:rPr>
              <w:t>/</w:t>
            </w:r>
          </w:p>
          <w:p w14:paraId="6D4B5B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lang w:val="en-US" w:eastAsia="zh-CN"/>
              </w:rPr>
              <w:t>延续</w:t>
            </w:r>
            <w:r>
              <w:rPr>
                <w:rFonts w:hint="default" w:ascii="Times New Roman" w:hAnsi="Times New Roman" w:eastAsia="仿宋_GB2312" w:cs="Times New Roman"/>
                <w:color w:val="auto"/>
                <w:lang w:val="en-US" w:eastAsia="zh-CN"/>
              </w:rPr>
              <w:t>申请</w:t>
            </w:r>
            <w:r>
              <w:rPr>
                <w:rFonts w:hint="eastAsia" w:ascii="Times New Roman" w:hAnsi="Times New Roman" w:eastAsia="仿宋_GB2312" w:cs="Times New Roman"/>
                <w:color w:val="auto"/>
                <w:lang w:val="en-US" w:eastAsia="zh-CN"/>
              </w:rPr>
              <w:t>/扩大勘查区域/缩小勘查区域</w:t>
            </w:r>
            <w:r>
              <w:rPr>
                <w:rFonts w:hint="eastAsia" w:ascii="Times New Roman" w:hAnsi="Times New Roman" w:eastAsia="仿宋_GB2312" w:cs="Times New Roman"/>
                <w:color w:val="auto"/>
                <w:sz w:val="22"/>
                <w:szCs w:val="22"/>
                <w:lang w:val="en-US" w:eastAsia="zh-CN"/>
              </w:rPr>
              <w:t>（</w:t>
            </w:r>
            <w:r>
              <w:rPr>
                <w:rFonts w:hint="default" w:ascii="Times New Roman" w:hAnsi="Times New Roman" w:eastAsia="仿宋_GB2312" w:cs="Times New Roman"/>
                <w:color w:val="auto"/>
                <w:sz w:val="22"/>
                <w:szCs w:val="22"/>
              </w:rPr>
              <w:t>非</w:t>
            </w:r>
            <w:r>
              <w:rPr>
                <w:rFonts w:hint="eastAsia" w:ascii="Times New Roman" w:hAnsi="Times New Roman" w:eastAsia="仿宋_GB2312" w:cs="Times New Roman"/>
                <w:color w:val="auto"/>
                <w:sz w:val="22"/>
                <w:szCs w:val="22"/>
                <w:lang w:val="en-US" w:eastAsia="zh-CN"/>
              </w:rPr>
              <w:t>探矿权分立）</w:t>
            </w:r>
          </w:p>
        </w:tc>
        <w:tc>
          <w:tcPr>
            <w:tcW w:w="2356" w:type="dxa"/>
            <w:gridSpan w:val="2"/>
            <w:tcBorders>
              <w:tl2br w:val="nil"/>
              <w:tr2bl w:val="nil"/>
            </w:tcBorders>
            <w:noWrap w:val="0"/>
            <w:vAlign w:val="center"/>
          </w:tcPr>
          <w:p w14:paraId="7C7B007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432FF76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3E651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220C669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4E72B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093C725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34D7E8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03CC587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FC99F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06DD35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0577A1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77EC06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6357C5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0187181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7596" w:type="dxa"/>
            <w:gridSpan w:val="10"/>
            <w:tcBorders>
              <w:tl2br w:val="nil"/>
              <w:tr2bl w:val="nil"/>
            </w:tcBorders>
            <w:noWrap w:val="0"/>
            <w:vAlign w:val="center"/>
          </w:tcPr>
          <w:p w14:paraId="4F4319D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合并</w:t>
            </w:r>
          </w:p>
          <w:p w14:paraId="53DC49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6B6AA5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1FD7B9A1">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val="en-US" w:eastAsia="zh-CN"/>
              </w:rPr>
              <w:t>探矿权分立</w:t>
            </w:r>
          </w:p>
        </w:tc>
        <w:tc>
          <w:tcPr>
            <w:tcW w:w="905" w:type="dxa"/>
            <w:vMerge w:val="restart"/>
            <w:tcBorders>
              <w:tl2br w:val="nil"/>
              <w:tr2bl w:val="nil"/>
            </w:tcBorders>
            <w:noWrap w:val="0"/>
            <w:vAlign w:val="center"/>
          </w:tcPr>
          <w:p w14:paraId="6CC5EC9D">
            <w:pPr>
              <w:rPr>
                <w:rFonts w:ascii="Times New Roman" w:hAnsi="Times New Roman" w:cs="Times New Roman"/>
                <w:color w:val="auto"/>
              </w:rPr>
            </w:pPr>
          </w:p>
          <w:p w14:paraId="0E1E03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7135903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EC0FC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31E08D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2A0069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2CC45056">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2825B0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A9943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17279FF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2A02BC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0CC952D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7754ED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063EE5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54D8C8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EE24D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0D6828E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13FB61C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0A10BB2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55AF401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16A428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321800B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tcBorders>
              <w:tl2br w:val="nil"/>
              <w:tr2bl w:val="nil"/>
            </w:tcBorders>
            <w:noWrap w:val="0"/>
            <w:vAlign w:val="center"/>
          </w:tcPr>
          <w:p w14:paraId="55F7E2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636DC8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58A0F6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172275A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4A652C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70D283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探矿权分立</w:t>
            </w:r>
          </w:p>
          <w:p w14:paraId="0C0AB45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20A0C9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3E414792">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探矿权人名称变更</w:t>
            </w:r>
            <w:r>
              <w:rPr>
                <w:rFonts w:hint="eastAsia" w:ascii="Times New Roman" w:hAnsi="Times New Roman" w:eastAsia="仿宋_GB2312" w:cs="Times New Roman"/>
                <w:color w:val="auto"/>
                <w:lang w:val="en-US" w:eastAsia="zh-CN"/>
              </w:rPr>
              <w:t>/探矿权转让</w:t>
            </w:r>
          </w:p>
        </w:tc>
        <w:tc>
          <w:tcPr>
            <w:tcW w:w="2356" w:type="dxa"/>
            <w:gridSpan w:val="2"/>
            <w:tcBorders>
              <w:tl2br w:val="nil"/>
              <w:tr2bl w:val="nil"/>
            </w:tcBorders>
            <w:noWrap w:val="0"/>
            <w:vAlign w:val="center"/>
          </w:tcPr>
          <w:p w14:paraId="36E73D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3D8876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BA39C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67C07F94">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03783D9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5ABF228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532945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20D9AFC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450178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6E49F5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2FB9CC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27079D2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8B786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1923708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2DE00B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3ADCE35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3F3CB3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75D81722">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lang w:val="en-US" w:eastAsia="zh-CN"/>
              </w:rPr>
              <w:t>注销</w:t>
            </w:r>
          </w:p>
        </w:tc>
        <w:tc>
          <w:tcPr>
            <w:tcW w:w="2356" w:type="dxa"/>
            <w:gridSpan w:val="2"/>
            <w:tcBorders>
              <w:tl2br w:val="nil"/>
              <w:tr2bl w:val="nil"/>
            </w:tcBorders>
            <w:noWrap w:val="0"/>
            <w:vAlign w:val="center"/>
          </w:tcPr>
          <w:p w14:paraId="120DF5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7F20C700">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606D0BB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20AF3E78">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78812238">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u w:val="single"/>
              </w:rPr>
              <w:t xml:space="preserve">                         </w:t>
            </w:r>
            <w:r>
              <w:rPr>
                <w:rFonts w:hint="default" w:ascii="Times New Roman" w:hAnsi="Times New Roman" w:eastAsia="仿宋_GB2312" w:cs="Times New Roman"/>
                <w:color w:val="auto"/>
                <w:highlight w:val="none"/>
              </w:rPr>
              <w:t xml:space="preserve">                        </w:t>
            </w:r>
          </w:p>
        </w:tc>
      </w:tr>
      <w:tr w14:paraId="5D90B1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0CD11EF1">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2873D8A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78E11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6C6A8379">
            <w:pPr>
              <w:pageBreakBefore w:val="0"/>
              <w:kinsoku/>
              <w:wordWrap/>
              <w:overflowPunct/>
              <w:topLinePunct w:val="0"/>
              <w:autoSpaceDE/>
              <w:autoSpaceDN/>
              <w:bidi w:val="0"/>
              <w:jc w:val="center"/>
              <w:outlineLvl w:val="9"/>
              <w:rPr>
                <w:rFonts w:ascii="Times New Roman" w:hAnsi="Times New Roman" w:cs="Times New Roman"/>
                <w:color w:val="auto"/>
              </w:rPr>
            </w:pPr>
          </w:p>
        </w:tc>
        <w:tc>
          <w:tcPr>
            <w:tcW w:w="8391" w:type="dxa"/>
            <w:gridSpan w:val="11"/>
            <w:tcBorders>
              <w:tl2br w:val="nil"/>
              <w:tr2bl w:val="nil"/>
            </w:tcBorders>
            <w:noWrap w:val="0"/>
            <w:vAlign w:val="top"/>
          </w:tcPr>
          <w:p w14:paraId="1E625028">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2002B5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0A604E86">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7AA4EC16">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6D7CCD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7AEED5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28A406E9">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17D34C40">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78A4A633">
      <w:pPr>
        <w:pStyle w:val="2"/>
        <w:rPr>
          <w:color w:val="auto"/>
          <w:highlight w:val="none"/>
        </w:rPr>
      </w:pPr>
    </w:p>
    <w:p w14:paraId="07A31FFD">
      <w:pPr>
        <w:pStyle w:val="3"/>
        <w:rPr>
          <w:color w:val="auto"/>
          <w:highlight w:val="none"/>
        </w:rPr>
      </w:pPr>
    </w:p>
    <w:p w14:paraId="2C210E4E">
      <w:pPr>
        <w:pStyle w:val="3"/>
        <w:rPr>
          <w:color w:val="auto"/>
          <w:highlight w:val="none"/>
        </w:rPr>
      </w:pPr>
    </w:p>
    <w:p w14:paraId="59E56BCF">
      <w:pPr>
        <w:pStyle w:val="3"/>
        <w:rPr>
          <w:color w:val="auto"/>
          <w:highlight w:val="none"/>
        </w:rPr>
      </w:pPr>
    </w:p>
    <w:p w14:paraId="7BAF93B5">
      <w:pPr>
        <w:pStyle w:val="3"/>
        <w:rPr>
          <w:color w:val="auto"/>
          <w:highlight w:val="none"/>
        </w:rPr>
      </w:pPr>
    </w:p>
    <w:p w14:paraId="4B0DDB23">
      <w:pPr>
        <w:pStyle w:val="3"/>
        <w:rPr>
          <w:color w:val="auto"/>
          <w:highlight w:val="none"/>
        </w:rPr>
      </w:pPr>
    </w:p>
    <w:p w14:paraId="267797EB">
      <w:pPr>
        <w:pStyle w:val="3"/>
        <w:rPr>
          <w:color w:val="auto"/>
          <w:highlight w:val="none"/>
        </w:rPr>
      </w:pPr>
    </w:p>
    <w:p w14:paraId="7CB90900">
      <w:pPr>
        <w:pStyle w:val="3"/>
        <w:rPr>
          <w:color w:val="auto"/>
          <w:highlight w:val="none"/>
        </w:rPr>
      </w:pPr>
    </w:p>
    <w:p w14:paraId="3F5235D0">
      <w:pPr>
        <w:pStyle w:val="3"/>
        <w:rPr>
          <w:color w:val="auto"/>
          <w:highlight w:val="none"/>
        </w:rPr>
      </w:pPr>
    </w:p>
    <w:p w14:paraId="14FAF3CF">
      <w:pPr>
        <w:pStyle w:val="3"/>
        <w:rPr>
          <w:color w:val="auto"/>
          <w:highlight w:val="none"/>
        </w:rPr>
      </w:pPr>
    </w:p>
    <w:p w14:paraId="0C098219">
      <w:pPr>
        <w:pStyle w:val="3"/>
        <w:rPr>
          <w:color w:val="auto"/>
          <w:highlight w:val="none"/>
        </w:rPr>
      </w:pPr>
    </w:p>
    <w:p w14:paraId="6751691C">
      <w:pPr>
        <w:pStyle w:val="3"/>
        <w:rPr>
          <w:color w:val="auto"/>
          <w:highlight w:val="none"/>
        </w:rPr>
      </w:pPr>
    </w:p>
    <w:p w14:paraId="0191F27C">
      <w:pPr>
        <w:pStyle w:val="3"/>
        <w:rPr>
          <w:color w:val="auto"/>
          <w:highlight w:val="none"/>
        </w:rPr>
      </w:pPr>
    </w:p>
    <w:p w14:paraId="2B7B9739">
      <w:pPr>
        <w:pStyle w:val="3"/>
        <w:rPr>
          <w:color w:val="auto"/>
          <w:highlight w:val="none"/>
        </w:rPr>
      </w:pPr>
    </w:p>
    <w:p w14:paraId="01067EB6">
      <w:pPr>
        <w:pStyle w:val="3"/>
        <w:rPr>
          <w:color w:val="auto"/>
          <w:highlight w:val="none"/>
        </w:rPr>
      </w:pPr>
    </w:p>
    <w:p w14:paraId="5401814C">
      <w:pPr>
        <w:pStyle w:val="3"/>
        <w:rPr>
          <w:color w:val="auto"/>
          <w:highlight w:val="none"/>
        </w:rPr>
      </w:pPr>
    </w:p>
    <w:p w14:paraId="0EEB27F2">
      <w:pPr>
        <w:pStyle w:val="3"/>
        <w:rPr>
          <w:color w:val="auto"/>
          <w:highlight w:val="none"/>
        </w:rPr>
      </w:pPr>
    </w:p>
    <w:p w14:paraId="50503D77">
      <w:pPr>
        <w:pStyle w:val="3"/>
        <w:rPr>
          <w:color w:val="auto"/>
          <w:highlight w:val="none"/>
        </w:rPr>
      </w:pPr>
    </w:p>
    <w:p w14:paraId="070A1C18">
      <w:pPr>
        <w:pStyle w:val="3"/>
        <w:rPr>
          <w:color w:val="auto"/>
          <w:highlight w:val="none"/>
        </w:rPr>
      </w:pPr>
    </w:p>
    <w:p w14:paraId="35EC06AC">
      <w:pPr>
        <w:pStyle w:val="3"/>
        <w:rPr>
          <w:color w:val="auto"/>
          <w:highlight w:val="none"/>
        </w:rPr>
      </w:pPr>
    </w:p>
    <w:p w14:paraId="468A1EE4">
      <w:pPr>
        <w:pStyle w:val="3"/>
        <w:rPr>
          <w:color w:val="auto"/>
          <w:highlight w:val="none"/>
        </w:rPr>
      </w:pPr>
    </w:p>
    <w:p w14:paraId="3A54DAA7">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3369D5B2">
      <w:pPr>
        <w:jc w:val="center"/>
        <w:rPr>
          <w:rFonts w:hint="eastAsia" w:ascii="黑体" w:hAnsi="黑体" w:eastAsia="黑体" w:cs="黑体"/>
          <w:color w:val="auto"/>
          <w:sz w:val="32"/>
          <w:szCs w:val="40"/>
          <w:lang w:val="en-US" w:eastAsia="zh-CN"/>
        </w:rPr>
      </w:pPr>
    </w:p>
    <w:p w14:paraId="64376A6D">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勘查许可审批流程图</w:t>
      </w:r>
    </w:p>
    <w:p w14:paraId="141149D0">
      <w:pPr>
        <w:rPr>
          <w:rFonts w:hint="eastAsia" w:eastAsia="宋体"/>
          <w:color w:val="auto"/>
          <w:lang w:eastAsia="zh-CN"/>
        </w:rPr>
      </w:pPr>
    </w:p>
    <w:p w14:paraId="61106807">
      <w:pPr>
        <w:rPr>
          <w:rFonts w:hint="eastAsia" w:eastAsia="宋体"/>
          <w:color w:val="auto"/>
          <w:lang w:eastAsia="zh-CN"/>
        </w:rPr>
      </w:pPr>
    </w:p>
    <w:p w14:paraId="79FAA20B">
      <w:pPr>
        <w:shd w:val="clear" w:color="auto" w:fill="auto"/>
        <w:jc w:val="both"/>
        <w:rPr>
          <w:rFonts w:hint="eastAsia" w:ascii="黑体" w:hAnsi="黑体" w:eastAsia="黑体" w:cs="黑体"/>
          <w:color w:val="auto"/>
          <w:sz w:val="32"/>
          <w:szCs w:val="32"/>
          <w:lang w:eastAsia="zh-CN"/>
        </w:rPr>
      </w:pPr>
    </w:p>
    <w:p w14:paraId="0F672EAA">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3CEE8562">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3CEE8562">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663F8DFF">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3ECA048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3ECA048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765E50C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765E50C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1C941C6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1C941C6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68FDABD0">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78F0473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78F0473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574D56EC">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3499485</wp:posOffset>
                </wp:positionH>
                <wp:positionV relativeFrom="paragraph">
                  <wp:posOffset>-828040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5pt;margin-top:-65.2pt;height:157.45pt;width:13.65pt;rotation:5898240f;z-index:251677696;mso-width-relative:page;mso-height-relative:page;" filled="f" stroked="t" coordsize="21600,21600" o:gfxdata="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3HYud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1DFDA77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1DFDA77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0966890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0966890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60F6D324">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5D768D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25D768D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3F878F0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3F878F0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7C19D66B">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42D1F04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608B857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2D1F04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608B857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5A72691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5A72691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3BC832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3BC832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08B0990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08B0990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5EA9B0F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5EA9B0F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0CEE51E4">
      <w:pPr>
        <w:pStyle w:val="3"/>
        <w:shd w:val="clear" w:color="auto" w:fill="auto"/>
        <w:jc w:val="left"/>
        <w:rPr>
          <w:rFonts w:hint="eastAsia" w:eastAsia="仿宋_GB2312"/>
          <w:color w:val="auto"/>
          <w:lang w:eastAsia="zh-CN"/>
        </w:rPr>
      </w:pPr>
    </w:p>
    <w:p w14:paraId="3356659B">
      <w:pPr>
        <w:rPr>
          <w:rFonts w:hint="eastAsia" w:eastAsia="宋体"/>
          <w:color w:val="auto"/>
          <w:lang w:eastAsia="zh-CN"/>
        </w:rPr>
      </w:pPr>
    </w:p>
    <w:p w14:paraId="57C4851F">
      <w:pPr>
        <w:pStyle w:val="3"/>
        <w:jc w:val="left"/>
        <w:rPr>
          <w:rFonts w:hint="eastAsia" w:eastAsia="仿宋_GB2312"/>
          <w:color w:val="auto"/>
          <w:lang w:eastAsia="zh-CN"/>
        </w:rPr>
      </w:pPr>
    </w:p>
    <w:p w14:paraId="4AAF2704">
      <w:pPr>
        <w:pStyle w:val="3"/>
        <w:rPr>
          <w:color w:val="auto"/>
          <w:sz w:val="20"/>
        </w:rPr>
      </w:pPr>
    </w:p>
    <w:p w14:paraId="367F2E23">
      <w:pPr>
        <w:pStyle w:val="3"/>
        <w:rPr>
          <w:rFonts w:hint="eastAsia" w:eastAsia="仿宋_GB2312"/>
          <w:color w:val="auto"/>
          <w:kern w:val="0"/>
          <w:sz w:val="32"/>
          <w:szCs w:val="32"/>
          <w:highlight w:val="none"/>
        </w:rPr>
      </w:pPr>
    </w:p>
    <w:p w14:paraId="54A90C90">
      <w:pPr>
        <w:pStyle w:val="3"/>
        <w:ind w:firstLine="0"/>
        <w:rPr>
          <w:color w:val="auto"/>
          <w:highlight w:val="none"/>
        </w:rPr>
      </w:pPr>
    </w:p>
    <w:p w14:paraId="24B0882E">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0BF2B">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528E320">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0528E320">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8E7F6">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3FF0E3EA">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5ECA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88092B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088092B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075F2">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69ABD">
    <w:pPr>
      <w:pStyle w:val="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86393"/>
    <w:multiLevelType w:val="singleLevel"/>
    <w:tmpl w:val="8028639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845B11"/>
    <w:rsid w:val="21AF50B6"/>
    <w:rsid w:val="24952DB4"/>
    <w:rsid w:val="24E5588A"/>
    <w:rsid w:val="2B29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4330</Words>
  <Characters>4428</Characters>
  <Lines>0</Lines>
  <Paragraphs>0</Paragraphs>
  <TotalTime>1</TotalTime>
  <ScaleCrop>false</ScaleCrop>
  <LinksUpToDate>false</LinksUpToDate>
  <CharactersWithSpaces>4773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2025-09-10T06:53:00Z</dcterms:created>
  <dc:creator>ZYZ</dc:creator>
  <cp:lastModifiedBy>郑云政</cp:lastModifiedBy>
  <dcterms:modified xsi:type="dcterms:W3CDTF">2025-09-15T03:16:00Z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FF7C7C8FB0234B12B0D4A9F668B47277_12</vt:lpwstr>
  </property>
</Properties>
</file>