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宋体" w:hAnsi="宋体" w:eastAsia="宋体" w:cs="宋体"/>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宋体" w:hAnsi="宋体" w:eastAsia="宋体" w:cs="宋体"/>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关于印发《黄山市自然资源和规划局</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方正小标宋_GBK" w:hAnsi="方正小标宋_GBK" w:eastAsia="方正小标宋_GBK" w:cs="方正小标宋_GBK"/>
          <w:sz w:val="44"/>
          <w:szCs w:val="44"/>
          <w:lang w:val="en" w:eastAsia="zh-CN"/>
        </w:rPr>
      </w:pPr>
      <w:r>
        <w:rPr>
          <w:rFonts w:hint="eastAsia" w:ascii="Times New Roman" w:hAnsi="Times New Roman" w:eastAsia="方正仿宋_GBK" w:cs="Times New Roman"/>
          <w:sz w:val="44"/>
          <w:szCs w:val="44"/>
          <w:lang w:val="en-US" w:eastAsia="zh-CN"/>
        </w:rPr>
        <w:t>2024</w:t>
      </w:r>
      <w:r>
        <w:rPr>
          <w:rFonts w:hint="eastAsia" w:ascii="方正小标宋_GBK" w:hAnsi="方正小标宋_GBK" w:eastAsia="方正小标宋_GBK" w:cs="方正小标宋_GBK"/>
          <w:sz w:val="44"/>
          <w:szCs w:val="44"/>
          <w:lang w:val="en-US" w:eastAsia="zh-CN"/>
        </w:rPr>
        <w:t>年政务公开重点工作清单</w:t>
      </w:r>
      <w:r>
        <w:rPr>
          <w:rFonts w:hint="eastAsia" w:ascii="方正小标宋_GBK" w:hAnsi="方正小标宋_GBK" w:eastAsia="方正小标宋_GBK" w:cs="方正小标宋_GBK"/>
          <w:sz w:val="44"/>
          <w:szCs w:val="44"/>
          <w:lang w:val="en" w:eastAsia="zh-CN"/>
        </w:rPr>
        <w:t>》的通知</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0" w:firstLineChars="0"/>
        <w:jc w:val="center"/>
        <w:textAlignment w:val="auto"/>
        <w:rPr>
          <w:rFonts w:hint="eastAsia" w:ascii="仿宋_GB2312" w:hAnsi="仿宋_GB2312" w:eastAsia="仿宋_GB2312" w:cs="仿宋_GB2312"/>
          <w:sz w:val="32"/>
          <w:szCs w:val="32"/>
          <w:lang w:val="en" w:eastAsia="zh-CN"/>
        </w:rPr>
      </w:pPr>
      <w:r>
        <w:rPr>
          <w:rFonts w:hint="eastAsia" w:ascii="方正仿宋_GBK" w:hAnsi="方正仿宋_GBK" w:eastAsia="方正仿宋_GBK" w:cs="方正仿宋_GBK"/>
          <w:sz w:val="32"/>
          <w:szCs w:val="32"/>
          <w:lang w:val="en-US" w:eastAsia="zh-CN"/>
        </w:rPr>
        <w:t>黄自然资办</w:t>
      </w:r>
      <w:r>
        <w:rPr>
          <w:rFonts w:hint="default" w:ascii="Times New Roman" w:hAnsi="Times New Roman" w:eastAsia="方正仿宋_GBK" w:cs="Times New Roman"/>
          <w:sz w:val="32"/>
          <w:szCs w:val="32"/>
          <w:lang w:val="en-US" w:eastAsia="zh-CN"/>
        </w:rPr>
        <w:t>〔2024〕17</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left"/>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0" w:firstLineChars="0"/>
        <w:jc w:val="left"/>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各科室，局属各单位：</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 w:eastAsia="zh-CN"/>
        </w:rPr>
        <w:t>《黄山市自然资源和规划局</w:t>
      </w:r>
      <w:r>
        <w:rPr>
          <w:rFonts w:hint="eastAsia" w:ascii="Times New Roman" w:hAnsi="Times New Roman" w:eastAsia="方正仿宋_GBK" w:cs="Times New Roman"/>
          <w:sz w:val="32"/>
          <w:szCs w:val="32"/>
          <w:lang w:val="en-US" w:eastAsia="zh-CN"/>
        </w:rPr>
        <w:t>2024年</w:t>
      </w:r>
      <w:r>
        <w:rPr>
          <w:rFonts w:hint="eastAsia" w:ascii="方正仿宋_GBK" w:hAnsi="方正仿宋_GBK" w:eastAsia="方正仿宋_GBK" w:cs="方正仿宋_GBK"/>
          <w:sz w:val="32"/>
          <w:szCs w:val="32"/>
          <w:lang w:val="en-US" w:eastAsia="zh-CN"/>
        </w:rPr>
        <w:t>政务公开重点工作清单</w:t>
      </w:r>
      <w:r>
        <w:rPr>
          <w:rFonts w:hint="eastAsia" w:ascii="方正仿宋_GBK" w:hAnsi="方正仿宋_GBK" w:eastAsia="方正仿宋_GBK" w:cs="方正仿宋_GBK"/>
          <w:sz w:val="32"/>
          <w:szCs w:val="32"/>
          <w:lang w:val="en" w:eastAsia="zh-CN"/>
        </w:rPr>
        <w:t>》经第</w:t>
      </w:r>
      <w:r>
        <w:rPr>
          <w:rFonts w:hint="eastAsia" w:ascii="Times New Roman" w:hAnsi="Times New Roman" w:eastAsia="方正仿宋_GBK" w:cs="Times New Roman"/>
          <w:sz w:val="32"/>
          <w:szCs w:val="32"/>
          <w:lang w:val="en-US" w:eastAsia="zh-CN"/>
        </w:rPr>
        <w:t>11次</w:t>
      </w:r>
      <w:r>
        <w:rPr>
          <w:rFonts w:hint="eastAsia" w:ascii="方正仿宋_GBK" w:hAnsi="方正仿宋_GBK" w:eastAsia="方正仿宋_GBK" w:cs="方正仿宋_GBK"/>
          <w:sz w:val="32"/>
          <w:szCs w:val="32"/>
          <w:lang w:val="en-US" w:eastAsia="zh-CN"/>
        </w:rPr>
        <w:t>党组会审议通过，现印发给你们，请认真执行，全力提升我局政务公开质效。</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0" w:firstLineChars="0"/>
        <w:jc w:val="center"/>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1247" w:gutter="0"/>
          <w:pgNumType w:fmt="decimal"/>
          <w:cols w:space="425" w:num="1"/>
          <w:docGrid w:type="lines" w:linePitch="312" w:charSpace="0"/>
        </w:sectPr>
      </w:pP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2024年7月2日</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方正仿宋_GBK" w:hAnsi="方正仿宋_GBK" w:eastAsia="方正仿宋_GBK" w:cs="方正仿宋_GBK"/>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黄山市自然资源和规划局</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jc w:val="center"/>
        <w:textAlignment w:val="auto"/>
        <w:rPr>
          <w:rFonts w:hint="eastAsia" w:ascii="方正小标宋_GBK" w:hAnsi="方正小标宋_GBK" w:eastAsia="方正小标宋_GBK" w:cs="方正小标宋_GBK"/>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2024</w:t>
      </w:r>
      <w:r>
        <w:rPr>
          <w:rFonts w:hint="eastAsia" w:ascii="方正小标宋_GBK" w:hAnsi="方正小标宋_GBK" w:eastAsia="方正小标宋_GBK" w:cs="方正小标宋_GBK"/>
          <w:color w:val="000000"/>
          <w:kern w:val="0"/>
          <w:sz w:val="44"/>
          <w:szCs w:val="44"/>
          <w:lang w:val="en-US" w:eastAsia="zh-CN"/>
        </w:rPr>
        <w:t>年政务公开重点工作清单</w:t>
      </w: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年，全市自然资源和规划系统要以习近平新时代中国特色社会主义思想为指导，全面贯彻落实党的二十大精神，持续推动新时代政务公开工作提质增效，现结合我局实际，制定本清单。</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落实主动公开</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聚焦大黄山世界级休闲度假康养旅游目的地建设，认真贯彻落实市委、市政府“七个强市”发展目标，扎实推进各项重点工作，及时公开自然资源要素保障等方面政策举措和进展成效，以高质量政策公开助推高质量发展（责任科室：各科室、局属各单位）；</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深化土地征收、国有建设用地供应、矿业权出让转让、国土空间规划、矿产勘查资源储量成果等重点领域信息公开（责任科室：复耕科、用管科、利用科、地矿科、规划科、交易中心、土储中心）；</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推深做实“民声呼应”，深化“四个服务”，积极开展“优环境、转作风、提效能”专项行动，充分利用好局网站、微信公众号和</w:t>
      </w:r>
      <w:r>
        <w:rPr>
          <w:rFonts w:hint="eastAsia" w:ascii="Times New Roman" w:hAnsi="Times New Roman" w:eastAsia="方正仿宋_GBK" w:cs="Times New Roman"/>
          <w:sz w:val="32"/>
          <w:szCs w:val="32"/>
          <w:lang w:val="en-US" w:eastAsia="zh-CN"/>
        </w:rPr>
        <w:t>12345</w:t>
      </w:r>
      <w:r>
        <w:rPr>
          <w:rFonts w:hint="eastAsia" w:ascii="方正仿宋_GBK" w:hAnsi="方正仿宋_GBK" w:eastAsia="方正仿宋_GBK" w:cs="方正仿宋_GBK"/>
          <w:sz w:val="32"/>
          <w:szCs w:val="32"/>
          <w:lang w:val="en-US" w:eastAsia="zh-CN"/>
        </w:rPr>
        <w:t>政务服务便民热线平台，针对群众关注的热点问题，及时回应关切（责任科室：各科室、局属各单位）；</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助力优化政务服务，聚焦“高效办成一件事”，集成式、一站式发布自然资源领域政务服务事项目录、办事指南、办理进展等（责任科室：法规科会同政务中心窗口及相关科室、单位）；</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持续做好局权责清单、公共服务、中介服务清单以及流程图等动态更新，推进行政机关依法规范履职（责任科室：法规科会相关科室）。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二、规范依申请公开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省依申请公开办理规范文书，调整依申请公开答复书中有关救济渠道表述。进一步规范办理程序，主动沟通了解申请人真实需求，及时会商研判复杂疑难申请，提升答复质效，防范法律风险。聚焦征地拆迁等重点领域，积极向市政务公开办请示报告，争取指导支持。强化依申请公开办理证据链管理，切实发挥行政复议、行政诉讼案例对行政行为的提示警示作用（责任科室：办公室、法规科、用管科、复耕科、各有关科室单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三、做好决策公开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健全政策制定公众参与、执行情况评估及公众评价机制，涉及重大公共利益的政策文件，除依法依规应当保密的外，应通过征求意见、听证座谈等方式扩大公众参与，并及时公开执行情况评估结果。要通过线上公开平台、政务新媒体以及其他线下公开渠道征求意见（责任科室：各决策承办科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四、加强政策解读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严格落实政策解读与政策文件同步起草、同步审签、同步发布的工作要求，政策文件发布后同步公开政策解读信息，精确传递信号，精准公开渠道，及时准确传递权威信息和政策意图，避免误解误读，至少采用两种以上方式解读（责任科室：各政策制定科室）；</w:t>
      </w:r>
    </w:p>
    <w:p>
      <w:pPr>
        <w:keepNext w:val="0"/>
        <w:keepLines w:val="0"/>
        <w:pageBreakBefore w:val="0"/>
        <w:widowControl/>
        <w:suppressLineNumbers w:val="0"/>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对涉及市场主体和人民群众切身利益的、需要社会公众广泛知晓的重大政策文件，注重运用客观数据、生动实例，采取图表、动漫、视频等方式进行形象化、通俗化解读，从政策背景、重点任务、落实措施等方面说清讲明，推动“集成式”解读、“专题式”发布，全链条、全方位、全景式展示政策信息（责任科室：各政策制定科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文字解读在形式上满足“八要素”的基础上，对照省、市优秀政策解读案例，着力提升解读质效，重点对社会关切的利益点、新旧政策的差异点、重要举措的创新点等方面进行深入解读，杜绝简单摘抄原文、罗列小标题式的解读（责任科室：各政策制定科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合理创新解读方式，精心设计图解、视频解读脚本，灵活使用群众喜闻乐见的“语言体”，运用图片、视频、动漫等解读形式加强解读效果，同时要力戒为解读而解读、盲目追求形式新颖。积极参加省优秀政策解读评选活动（责任科室：各政策制定科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五、抓好平台建设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政策文件库建设，健全管理机制，规范网络版发布格式，做到政策文件数据同源、动态更新。综合运用政府网站、政务新媒体、电子显示屏等方式，积极拓展自然资源领域政务公开渠道，有效扩大政策传播范围（责任科室：办公室、信息中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六、严格审查清理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政府信息全生命周期管理，公开前严格审查。严格落实三审三校制度，坚持“先审后发”“一事一审”原则，依法对拟公开的信息进行保密审查，做到该公开的公开到位，该保密的保密到位。科学确定公开方式、范围和时限，坚持分类施策，综合考虑信息性质、受众、影响等因素，需要广泛知晓的全面公开到位，一定范围内知晓的在特定范围内公开，公开内容贴合栏目要求和工作实际，持续整治数字形式主义，杜绝无效信息发布。公开后定期清理，按照“谁公开、谁清理”原则，加强对已公开的信息进行风险排查，清理无关、无效、不需长期保留以及涉及个人隐私等信息，防止信息汇聚引发风险（责任科室：办公室、信息中心、各有关科室、单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七、提升基层政务公开质效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围绕自然资源领域基层“两化”，要将市重点领域信息公开与基层“两化”工作相结合，各相关科室加大对县区基层“两化”自然资源领域信息公开的业务指导、监督检查和评估，同步提升市、县两级的公开质效。（责任科室：办公室会同有关科室、单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八、强化监督保障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照新时代政务公开要求，全面梳理现有工作机制，及时予以清理修订。待国家政府信息公开条例修订和政策发布条例出台后，认真做好宣传贯彻和工作衔接。要不断充实人员力量，学习借鉴先进经验做法，并及时总结归纳，不断提高政务公开队伍业务水平（责任科室：办公室，各科室、单位）。</w:t>
      </w:r>
    </w:p>
    <w:p>
      <w:pPr>
        <w:keepNext w:val="0"/>
        <w:keepLines w:val="0"/>
        <w:widowControl/>
        <w:suppressLineNumbers w:val="0"/>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widowControl/>
        <w:suppressLineNumbers w:val="0"/>
        <w:jc w:val="left"/>
      </w:pPr>
    </w:p>
    <w:p>
      <w:pPr>
        <w:keepNext w:val="0"/>
        <w:keepLines w:val="0"/>
        <w:widowControl/>
        <w:suppressLineNumbers w:val="0"/>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widowControl/>
        <w:suppressLineNumbers w:val="0"/>
        <w:jc w:val="lef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1420"/>
    <w:multiLevelType w:val="singleLevel"/>
    <w:tmpl w:val="B77E1420"/>
    <w:lvl w:ilvl="0" w:tentative="0">
      <w:start w:val="1"/>
      <w:numFmt w:val="chineseCounting"/>
      <w:suff w:val="nothing"/>
      <w:lvlText w:val="（%1）"/>
      <w:lvlJc w:val="left"/>
      <w:rPr>
        <w:rFonts w:hint="eastAsia"/>
      </w:rPr>
    </w:lvl>
  </w:abstractNum>
  <w:abstractNum w:abstractNumId="1">
    <w:nsid w:val="C73AC023"/>
    <w:multiLevelType w:val="singleLevel"/>
    <w:tmpl w:val="C73AC0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EBA5D"/>
    <w:rsid w:val="1F7B27A0"/>
    <w:rsid w:val="1FB31843"/>
    <w:rsid w:val="2DBD5638"/>
    <w:rsid w:val="2F7F9B34"/>
    <w:rsid w:val="33FB2E01"/>
    <w:rsid w:val="35FEBA5D"/>
    <w:rsid w:val="3BFEB6C5"/>
    <w:rsid w:val="3CBFDD9D"/>
    <w:rsid w:val="3D8F4EEF"/>
    <w:rsid w:val="3DF5CC76"/>
    <w:rsid w:val="3F472F15"/>
    <w:rsid w:val="3F6B5DBD"/>
    <w:rsid w:val="4EFD5D49"/>
    <w:rsid w:val="5F7E42D6"/>
    <w:rsid w:val="656D1712"/>
    <w:rsid w:val="6BBBF83E"/>
    <w:rsid w:val="6BD41312"/>
    <w:rsid w:val="6BD72394"/>
    <w:rsid w:val="6F6510AC"/>
    <w:rsid w:val="6F6D0EB1"/>
    <w:rsid w:val="6FBF150A"/>
    <w:rsid w:val="6FDB9AD6"/>
    <w:rsid w:val="73EBA6F9"/>
    <w:rsid w:val="77FABC6A"/>
    <w:rsid w:val="78CDDB4C"/>
    <w:rsid w:val="79FB01F6"/>
    <w:rsid w:val="7ADB8D50"/>
    <w:rsid w:val="7D8FE43E"/>
    <w:rsid w:val="7DBAFC50"/>
    <w:rsid w:val="7DFD3EEB"/>
    <w:rsid w:val="7EEF1319"/>
    <w:rsid w:val="7EFDD666"/>
    <w:rsid w:val="7FDF18F4"/>
    <w:rsid w:val="7FFF39A6"/>
    <w:rsid w:val="B1D9D2BC"/>
    <w:rsid w:val="BFBE070C"/>
    <w:rsid w:val="C9FEA8B1"/>
    <w:rsid w:val="E7E94837"/>
    <w:rsid w:val="ED0EDC92"/>
    <w:rsid w:val="F5F5BD89"/>
    <w:rsid w:val="F7EF5686"/>
    <w:rsid w:val="F8FF09B5"/>
    <w:rsid w:val="FB7F3BF1"/>
    <w:rsid w:val="FBC9A1EF"/>
    <w:rsid w:val="FD7D87B4"/>
    <w:rsid w:val="FDFB3AC0"/>
    <w:rsid w:val="FE543173"/>
    <w:rsid w:val="FF4C2A2A"/>
    <w:rsid w:val="FF7F5202"/>
    <w:rsid w:val="FFF57F74"/>
    <w:rsid w:val="FFF74EB0"/>
    <w:rsid w:val="FFFF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2228</Words>
  <Characters>2252</Characters>
  <Lines>0</Lines>
  <Paragraphs>0</Paragraphs>
  <TotalTime>55</TotalTime>
  <ScaleCrop>false</ScaleCrop>
  <LinksUpToDate>false</LinksUpToDate>
  <CharactersWithSpaces>2275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2024-06-15T17:23:00Z</dcterms:created>
  <dc:creator>hss</dc:creator>
  <cp:lastModifiedBy>hss</cp:lastModifiedBy>
  <dcterms:modified xsi:type="dcterms:W3CDTF">2025-12-22T09:07:27Z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